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716FA" w14:textId="342E481F" w:rsidR="001607C9" w:rsidRPr="008421A4" w:rsidRDefault="008421A4" w:rsidP="008421A4">
      <w:pPr>
        <w:pStyle w:val="BodyText"/>
        <w:tabs>
          <w:tab w:val="left" w:pos="3990"/>
        </w:tabs>
        <w:jc w:val="center"/>
        <w:rPr>
          <w:b/>
          <w:noProof/>
          <w:color w:val="365F91" w:themeColor="accent1" w:themeShade="BF"/>
          <w:sz w:val="28"/>
          <w:szCs w:val="28"/>
        </w:rPr>
      </w:pPr>
      <w:r w:rsidRPr="008421A4">
        <w:rPr>
          <w:b/>
          <w:noProof/>
          <w:color w:val="365F91" w:themeColor="accent1" w:themeShade="BF"/>
          <w:sz w:val="28"/>
          <w:szCs w:val="28"/>
        </w:rPr>
        <w:t>Aberdeen City Licensing Board</w:t>
      </w:r>
    </w:p>
    <w:p w14:paraId="6E918B3A" w14:textId="6097123A" w:rsidR="008421A4" w:rsidRPr="008421A4" w:rsidRDefault="008421A4" w:rsidP="008421A4">
      <w:pPr>
        <w:pStyle w:val="BodyText"/>
        <w:tabs>
          <w:tab w:val="left" w:pos="3990"/>
        </w:tabs>
        <w:jc w:val="center"/>
        <w:rPr>
          <w:rFonts w:ascii="Times New Roman"/>
          <w:b/>
          <w:color w:val="365F91" w:themeColor="accent1" w:themeShade="BF"/>
          <w:sz w:val="28"/>
          <w:szCs w:val="28"/>
        </w:rPr>
      </w:pPr>
    </w:p>
    <w:p w14:paraId="1EA3131D" w14:textId="1CB5D400" w:rsidR="008421A4" w:rsidRPr="008421A4" w:rsidRDefault="008421A4" w:rsidP="008421A4">
      <w:pPr>
        <w:pStyle w:val="BodyText"/>
        <w:tabs>
          <w:tab w:val="left" w:pos="3990"/>
        </w:tabs>
        <w:jc w:val="center"/>
        <w:rPr>
          <w:b/>
          <w:color w:val="365F91" w:themeColor="accent1" w:themeShade="BF"/>
          <w:sz w:val="28"/>
          <w:szCs w:val="28"/>
        </w:rPr>
      </w:pPr>
      <w:r w:rsidRPr="008421A4">
        <w:rPr>
          <w:b/>
          <w:color w:val="365F91" w:themeColor="accent1" w:themeShade="BF"/>
          <w:sz w:val="28"/>
          <w:szCs w:val="28"/>
        </w:rPr>
        <w:t>Gambling Act 2005</w:t>
      </w:r>
    </w:p>
    <w:p w14:paraId="0692B23C" w14:textId="44CC5E0C" w:rsidR="008421A4" w:rsidRPr="008421A4" w:rsidRDefault="008421A4" w:rsidP="008421A4">
      <w:pPr>
        <w:pStyle w:val="BodyText"/>
        <w:tabs>
          <w:tab w:val="left" w:pos="3990"/>
        </w:tabs>
        <w:jc w:val="center"/>
        <w:rPr>
          <w:b/>
          <w:color w:val="365F91" w:themeColor="accent1" w:themeShade="BF"/>
          <w:sz w:val="28"/>
          <w:szCs w:val="28"/>
        </w:rPr>
      </w:pPr>
    </w:p>
    <w:p w14:paraId="6F40B950" w14:textId="0C627E09" w:rsidR="008421A4" w:rsidRPr="008421A4" w:rsidRDefault="008421A4" w:rsidP="008421A4">
      <w:pPr>
        <w:pStyle w:val="BodyText"/>
        <w:tabs>
          <w:tab w:val="left" w:pos="3990"/>
        </w:tabs>
        <w:jc w:val="center"/>
        <w:rPr>
          <w:b/>
          <w:color w:val="365F91" w:themeColor="accent1" w:themeShade="BF"/>
          <w:sz w:val="28"/>
          <w:szCs w:val="28"/>
        </w:rPr>
      </w:pPr>
      <w:r w:rsidRPr="008421A4">
        <w:rPr>
          <w:b/>
          <w:color w:val="365F91" w:themeColor="accent1" w:themeShade="BF"/>
          <w:sz w:val="28"/>
          <w:szCs w:val="28"/>
        </w:rPr>
        <w:t xml:space="preserve">Local Area Profile </w:t>
      </w:r>
    </w:p>
    <w:p w14:paraId="66A9533A" w14:textId="77777777" w:rsidR="001607C9" w:rsidRDefault="001607C9" w:rsidP="00EB497B">
      <w:pPr>
        <w:pStyle w:val="BodyText"/>
        <w:spacing w:before="10"/>
        <w:jc w:val="both"/>
        <w:rPr>
          <w:rFonts w:ascii="Times New Roman"/>
          <w:sz w:val="27"/>
        </w:rPr>
      </w:pPr>
    </w:p>
    <w:p w14:paraId="33B44FE6" w14:textId="77777777" w:rsidR="001607C9" w:rsidRPr="00EB497B" w:rsidRDefault="001607C9" w:rsidP="00EB497B">
      <w:pPr>
        <w:pStyle w:val="BodyText"/>
        <w:jc w:val="both"/>
        <w:rPr>
          <w:b/>
          <w:sz w:val="24"/>
          <w:szCs w:val="24"/>
        </w:rPr>
      </w:pPr>
    </w:p>
    <w:p w14:paraId="2526D72E" w14:textId="6E721346" w:rsidR="001607C9" w:rsidRPr="00CD1A52" w:rsidRDefault="00D346BA" w:rsidP="00B444A6">
      <w:pPr>
        <w:pStyle w:val="ListParagraph"/>
        <w:numPr>
          <w:ilvl w:val="0"/>
          <w:numId w:val="12"/>
        </w:numPr>
        <w:ind w:hanging="520"/>
        <w:jc w:val="both"/>
        <w:rPr>
          <w:b/>
          <w:sz w:val="24"/>
          <w:szCs w:val="24"/>
        </w:rPr>
      </w:pPr>
      <w:r w:rsidRPr="00CD1A52">
        <w:rPr>
          <w:b/>
          <w:color w:val="365F91" w:themeColor="accent1" w:themeShade="BF"/>
          <w:sz w:val="24"/>
          <w:szCs w:val="24"/>
        </w:rPr>
        <w:t>Introduction</w:t>
      </w:r>
    </w:p>
    <w:p w14:paraId="5E19D4C1" w14:textId="77777777" w:rsidR="001607C9" w:rsidRPr="00EB497B" w:rsidRDefault="001607C9" w:rsidP="00EB497B">
      <w:pPr>
        <w:pStyle w:val="BodyText"/>
        <w:spacing w:before="3"/>
        <w:jc w:val="both"/>
        <w:rPr>
          <w:b/>
          <w:sz w:val="24"/>
          <w:szCs w:val="24"/>
        </w:rPr>
      </w:pPr>
    </w:p>
    <w:p w14:paraId="2003D02C" w14:textId="23675639" w:rsidR="001607C9" w:rsidRPr="00EB497B" w:rsidRDefault="218DC876" w:rsidP="218DC876">
      <w:pPr>
        <w:pStyle w:val="BodyText"/>
        <w:ind w:right="590"/>
        <w:jc w:val="both"/>
        <w:rPr>
          <w:sz w:val="24"/>
          <w:szCs w:val="24"/>
        </w:rPr>
      </w:pPr>
      <w:r w:rsidRPr="218DC876">
        <w:rPr>
          <w:sz w:val="24"/>
          <w:szCs w:val="24"/>
        </w:rPr>
        <w:t>This Local Area Profile has been developed to assist gambling operators to assess ‘local risks’ when applying for a premises licence. The aim of the profile is to allow appropriate steps to be taken to mitigate any identified risk.</w:t>
      </w:r>
    </w:p>
    <w:p w14:paraId="4D55FC94" w14:textId="77777777" w:rsidR="001607C9" w:rsidRPr="00EB497B" w:rsidRDefault="001607C9" w:rsidP="00EB497B">
      <w:pPr>
        <w:pStyle w:val="BodyText"/>
        <w:spacing w:before="11"/>
        <w:jc w:val="both"/>
        <w:rPr>
          <w:sz w:val="24"/>
          <w:szCs w:val="24"/>
        </w:rPr>
      </w:pPr>
    </w:p>
    <w:p w14:paraId="76C79660" w14:textId="6AD190AD" w:rsidR="001607C9" w:rsidRPr="00EB497B" w:rsidRDefault="218DC876" w:rsidP="218DC876">
      <w:pPr>
        <w:pStyle w:val="BodyText"/>
        <w:ind w:right="587"/>
        <w:jc w:val="both"/>
        <w:rPr>
          <w:sz w:val="24"/>
          <w:szCs w:val="24"/>
        </w:rPr>
      </w:pPr>
      <w:r w:rsidRPr="218DC876">
        <w:rPr>
          <w:sz w:val="24"/>
          <w:szCs w:val="24"/>
        </w:rPr>
        <w:t>Although not compulsory, the Licensing Board decided that a Local Area Profile would give the necessary guidance to gambling operators to assist them in fulfilling their duties under the provisions in the social responsibility code within the Licence Conditions and Codes of Practice (</w:t>
      </w:r>
      <w:proofErr w:type="spellStart"/>
      <w:r w:rsidRPr="218DC876">
        <w:rPr>
          <w:sz w:val="24"/>
          <w:szCs w:val="24"/>
        </w:rPr>
        <w:t>LCCP</w:t>
      </w:r>
      <w:proofErr w:type="spellEnd"/>
      <w:r w:rsidRPr="218DC876">
        <w:rPr>
          <w:sz w:val="24"/>
          <w:szCs w:val="24"/>
        </w:rPr>
        <w:t>) issued by the Gambling Commission.</w:t>
      </w:r>
    </w:p>
    <w:p w14:paraId="61E0CE32" w14:textId="77777777" w:rsidR="001607C9" w:rsidRPr="00EB497B" w:rsidRDefault="001607C9" w:rsidP="00EB497B">
      <w:pPr>
        <w:pStyle w:val="BodyText"/>
        <w:jc w:val="both"/>
        <w:rPr>
          <w:sz w:val="24"/>
          <w:szCs w:val="24"/>
        </w:rPr>
      </w:pPr>
    </w:p>
    <w:p w14:paraId="08532E9B" w14:textId="77777777" w:rsidR="001607C9" w:rsidRPr="00EB497B" w:rsidRDefault="001607C9" w:rsidP="00EB497B">
      <w:pPr>
        <w:pStyle w:val="BodyText"/>
        <w:spacing w:before="9"/>
        <w:jc w:val="both"/>
        <w:rPr>
          <w:sz w:val="24"/>
          <w:szCs w:val="24"/>
        </w:rPr>
      </w:pPr>
    </w:p>
    <w:p w14:paraId="0CF36B52" w14:textId="77777777" w:rsidR="001607C9" w:rsidRPr="00EB497B" w:rsidRDefault="00EB497B" w:rsidP="00B444A6">
      <w:pPr>
        <w:pStyle w:val="BodyText"/>
        <w:ind w:right="587"/>
        <w:jc w:val="both"/>
        <w:rPr>
          <w:sz w:val="24"/>
          <w:szCs w:val="24"/>
        </w:rPr>
      </w:pPr>
      <w:r w:rsidRPr="00EB497B">
        <w:rPr>
          <w:sz w:val="24"/>
          <w:szCs w:val="24"/>
        </w:rPr>
        <w:t>Aberdeen City Licensing Board is</w:t>
      </w:r>
      <w:r w:rsidR="008F5D23" w:rsidRPr="00EB497B">
        <w:rPr>
          <w:sz w:val="24"/>
          <w:szCs w:val="24"/>
        </w:rPr>
        <w:t xml:space="preserve"> </w:t>
      </w:r>
      <w:r w:rsidRPr="00EB497B">
        <w:rPr>
          <w:sz w:val="24"/>
          <w:szCs w:val="24"/>
        </w:rPr>
        <w:t>a</w:t>
      </w:r>
      <w:r w:rsidR="008F5D23" w:rsidRPr="00EB497B">
        <w:rPr>
          <w:sz w:val="24"/>
          <w:szCs w:val="24"/>
        </w:rPr>
        <w:t xml:space="preserve"> Licensing Authority under the </w:t>
      </w:r>
      <w:r w:rsidRPr="00EB497B">
        <w:rPr>
          <w:sz w:val="24"/>
          <w:szCs w:val="24"/>
        </w:rPr>
        <w:t xml:space="preserve">Gambling </w:t>
      </w:r>
      <w:r w:rsidR="008F5D23" w:rsidRPr="00EB497B">
        <w:rPr>
          <w:sz w:val="24"/>
          <w:szCs w:val="24"/>
        </w:rPr>
        <w:t>Act</w:t>
      </w:r>
      <w:r w:rsidRPr="00EB497B">
        <w:rPr>
          <w:sz w:val="24"/>
          <w:szCs w:val="24"/>
        </w:rPr>
        <w:t xml:space="preserve"> 2005 (the Act)</w:t>
      </w:r>
      <w:r w:rsidR="008F5D23" w:rsidRPr="00EB497B">
        <w:rPr>
          <w:sz w:val="24"/>
          <w:szCs w:val="24"/>
        </w:rPr>
        <w:t xml:space="preserve">. The Licensing Authority is responsible for considering and determining applications for premises licences which offer gambling facilities within </w:t>
      </w:r>
      <w:r w:rsidRPr="00EB497B">
        <w:rPr>
          <w:sz w:val="24"/>
          <w:szCs w:val="24"/>
        </w:rPr>
        <w:t>Aberdeen</w:t>
      </w:r>
      <w:r w:rsidR="008F5D23" w:rsidRPr="00EB497B">
        <w:rPr>
          <w:sz w:val="24"/>
          <w:szCs w:val="24"/>
        </w:rPr>
        <w:t xml:space="preserve">. </w:t>
      </w:r>
    </w:p>
    <w:p w14:paraId="7168DF56" w14:textId="77777777" w:rsidR="001607C9" w:rsidRPr="00EB497B" w:rsidRDefault="001607C9" w:rsidP="00EB497B">
      <w:pPr>
        <w:pStyle w:val="BodyText"/>
        <w:spacing w:before="11"/>
        <w:jc w:val="both"/>
        <w:rPr>
          <w:sz w:val="24"/>
          <w:szCs w:val="24"/>
        </w:rPr>
      </w:pPr>
    </w:p>
    <w:p w14:paraId="5F4CC912" w14:textId="0FA6C19E" w:rsidR="001607C9" w:rsidRPr="00EB497B" w:rsidRDefault="32709476" w:rsidP="32709476">
      <w:pPr>
        <w:pStyle w:val="BodyText"/>
        <w:ind w:right="587"/>
        <w:jc w:val="both"/>
        <w:rPr>
          <w:sz w:val="24"/>
          <w:szCs w:val="24"/>
        </w:rPr>
      </w:pPr>
      <w:r w:rsidRPr="32709476">
        <w:rPr>
          <w:sz w:val="24"/>
          <w:szCs w:val="24"/>
        </w:rPr>
        <w:t xml:space="preserve">The Licensing Authority will set out how it intends to carry out its functions under the Act in its Statement of Licensing Principles, also known as Gambling Act 2005 Statement of Licensing Policy. This statement is kept under review and is updated every three years (as a minimum) and can viewed on the Board’s website at </w:t>
      </w:r>
      <w:hyperlink r:id="rId6">
        <w:r w:rsidRPr="32709476">
          <w:rPr>
            <w:rStyle w:val="Hyperlink"/>
            <w:sz w:val="24"/>
            <w:szCs w:val="24"/>
          </w:rPr>
          <w:t>https://www.aberdeencity.gov.uk/services/business-and-licensing/licences-and-permits/gambling-act-2005</w:t>
        </w:r>
      </w:hyperlink>
      <w:r w:rsidRPr="32709476">
        <w:rPr>
          <w:sz w:val="24"/>
          <w:szCs w:val="24"/>
        </w:rPr>
        <w:t xml:space="preserve"> </w:t>
      </w:r>
    </w:p>
    <w:p w14:paraId="1FCAA7DC" w14:textId="77777777" w:rsidR="001607C9" w:rsidRPr="00EB497B" w:rsidRDefault="001607C9" w:rsidP="00EB497B">
      <w:pPr>
        <w:pStyle w:val="BodyText"/>
        <w:spacing w:before="10"/>
        <w:jc w:val="both"/>
        <w:rPr>
          <w:sz w:val="24"/>
          <w:szCs w:val="24"/>
        </w:rPr>
      </w:pPr>
    </w:p>
    <w:p w14:paraId="4E4F6896" w14:textId="67D1CFC6" w:rsidR="001607C9" w:rsidRPr="00EB497B" w:rsidRDefault="008F5D23" w:rsidP="00B444A6">
      <w:pPr>
        <w:pStyle w:val="BodyText"/>
        <w:spacing w:before="1"/>
        <w:ind w:right="587"/>
        <w:jc w:val="both"/>
        <w:rPr>
          <w:sz w:val="24"/>
          <w:szCs w:val="24"/>
        </w:rPr>
      </w:pPr>
      <w:r w:rsidRPr="00EB497B">
        <w:rPr>
          <w:sz w:val="24"/>
          <w:szCs w:val="24"/>
        </w:rPr>
        <w:t xml:space="preserve">The Gambling Commission set out guidance for Local Authorities and </w:t>
      </w:r>
      <w:r w:rsidR="001A104B">
        <w:rPr>
          <w:sz w:val="24"/>
          <w:szCs w:val="24"/>
        </w:rPr>
        <w:t xml:space="preserve">have </w:t>
      </w:r>
      <w:r w:rsidRPr="00EB497B">
        <w:rPr>
          <w:sz w:val="24"/>
          <w:szCs w:val="24"/>
        </w:rPr>
        <w:t>developed Codes of</w:t>
      </w:r>
      <w:r w:rsidRPr="00EB497B">
        <w:rPr>
          <w:spacing w:val="-26"/>
          <w:sz w:val="24"/>
          <w:szCs w:val="24"/>
        </w:rPr>
        <w:t xml:space="preserve"> </w:t>
      </w:r>
      <w:r w:rsidRPr="00EB497B">
        <w:rPr>
          <w:sz w:val="24"/>
          <w:szCs w:val="24"/>
        </w:rPr>
        <w:t>Practice</w:t>
      </w:r>
      <w:r w:rsidR="001E2AE8">
        <w:rPr>
          <w:sz w:val="24"/>
          <w:szCs w:val="24"/>
        </w:rPr>
        <w:t xml:space="preserve"> </w:t>
      </w:r>
      <w:r w:rsidRPr="00EB497B">
        <w:rPr>
          <w:sz w:val="24"/>
          <w:szCs w:val="24"/>
        </w:rPr>
        <w:t>including social responsibility codes</w:t>
      </w:r>
      <w:r w:rsidR="001A104B">
        <w:rPr>
          <w:sz w:val="24"/>
          <w:szCs w:val="24"/>
        </w:rPr>
        <w:t xml:space="preserve"> for operators</w:t>
      </w:r>
      <w:r w:rsidRPr="00EB497B">
        <w:rPr>
          <w:sz w:val="24"/>
          <w:szCs w:val="24"/>
        </w:rPr>
        <w:t xml:space="preserve">. These codes are essential in ensuring </w:t>
      </w:r>
      <w:r w:rsidR="00CF2BD0">
        <w:rPr>
          <w:sz w:val="24"/>
          <w:szCs w:val="24"/>
        </w:rPr>
        <w:t xml:space="preserve">that </w:t>
      </w:r>
      <w:r w:rsidR="00CF2BD0" w:rsidRPr="00EB497B">
        <w:rPr>
          <w:sz w:val="24"/>
          <w:szCs w:val="24"/>
        </w:rPr>
        <w:t>gambling</w:t>
      </w:r>
      <w:r w:rsidRPr="00EB497B">
        <w:rPr>
          <w:sz w:val="24"/>
          <w:szCs w:val="24"/>
        </w:rPr>
        <w:t xml:space="preserve"> operator</w:t>
      </w:r>
      <w:r w:rsidR="00CF2BD0">
        <w:rPr>
          <w:sz w:val="24"/>
          <w:szCs w:val="24"/>
        </w:rPr>
        <w:t>s</w:t>
      </w:r>
      <w:r w:rsidRPr="00EB497B">
        <w:rPr>
          <w:sz w:val="24"/>
          <w:szCs w:val="24"/>
        </w:rPr>
        <w:t xml:space="preserve"> promote the licensing objectives as set out by the </w:t>
      </w:r>
      <w:r w:rsidR="00CF2BD0">
        <w:rPr>
          <w:sz w:val="24"/>
          <w:szCs w:val="24"/>
        </w:rPr>
        <w:t xml:space="preserve">Act. </w:t>
      </w:r>
    </w:p>
    <w:p w14:paraId="576C2FD0" w14:textId="77777777" w:rsidR="001607C9" w:rsidRPr="00EB497B" w:rsidRDefault="001607C9" w:rsidP="00EB497B">
      <w:pPr>
        <w:pStyle w:val="BodyText"/>
        <w:jc w:val="both"/>
        <w:rPr>
          <w:sz w:val="24"/>
          <w:szCs w:val="24"/>
        </w:rPr>
      </w:pPr>
    </w:p>
    <w:p w14:paraId="6C7318EC" w14:textId="14FCCD92" w:rsidR="001607C9" w:rsidRDefault="001A104B" w:rsidP="00B444A6">
      <w:pPr>
        <w:pStyle w:val="BodyText"/>
        <w:ind w:right="483"/>
        <w:jc w:val="both"/>
        <w:rPr>
          <w:sz w:val="24"/>
          <w:szCs w:val="24"/>
        </w:rPr>
      </w:pPr>
      <w:r>
        <w:rPr>
          <w:sz w:val="24"/>
          <w:szCs w:val="24"/>
        </w:rPr>
        <w:t xml:space="preserve">From </w:t>
      </w:r>
      <w:r w:rsidRPr="00EB497B">
        <w:rPr>
          <w:sz w:val="24"/>
          <w:szCs w:val="24"/>
        </w:rPr>
        <w:t>April</w:t>
      </w:r>
      <w:r w:rsidR="008F5D23" w:rsidRPr="00EB497B">
        <w:rPr>
          <w:sz w:val="24"/>
          <w:szCs w:val="24"/>
        </w:rPr>
        <w:t xml:space="preserve"> 2016, </w:t>
      </w:r>
      <w:r>
        <w:rPr>
          <w:sz w:val="24"/>
          <w:szCs w:val="24"/>
        </w:rPr>
        <w:t xml:space="preserve">all operators </w:t>
      </w:r>
      <w:r w:rsidR="00CF2BD0">
        <w:rPr>
          <w:sz w:val="24"/>
          <w:szCs w:val="24"/>
        </w:rPr>
        <w:t xml:space="preserve">are </w:t>
      </w:r>
      <w:r w:rsidR="001E2AE8">
        <w:rPr>
          <w:sz w:val="24"/>
          <w:szCs w:val="24"/>
        </w:rPr>
        <w:t xml:space="preserve">required to </w:t>
      </w:r>
      <w:r>
        <w:rPr>
          <w:sz w:val="24"/>
          <w:szCs w:val="24"/>
        </w:rPr>
        <w:t>undertake local area risk assessments to consider</w:t>
      </w:r>
      <w:r w:rsidRPr="00EB497B">
        <w:rPr>
          <w:sz w:val="24"/>
          <w:szCs w:val="24"/>
        </w:rPr>
        <w:t xml:space="preserve"> </w:t>
      </w:r>
      <w:r>
        <w:rPr>
          <w:sz w:val="24"/>
          <w:szCs w:val="24"/>
        </w:rPr>
        <w:t>what risk gambling venues pose to the licensing objectives, including the protection of young and vulnerable people</w:t>
      </w:r>
      <w:r w:rsidR="008F5D23" w:rsidRPr="00EB497B">
        <w:rPr>
          <w:sz w:val="24"/>
          <w:szCs w:val="24"/>
        </w:rPr>
        <w:t xml:space="preserve"> and </w:t>
      </w:r>
      <w:r w:rsidR="00CF2BD0">
        <w:rPr>
          <w:sz w:val="24"/>
          <w:szCs w:val="24"/>
        </w:rPr>
        <w:t xml:space="preserve">are </w:t>
      </w:r>
      <w:r w:rsidR="00383151">
        <w:rPr>
          <w:sz w:val="24"/>
          <w:szCs w:val="24"/>
        </w:rPr>
        <w:t>required to</w:t>
      </w:r>
      <w:r w:rsidR="008F5D23" w:rsidRPr="00EB497B">
        <w:rPr>
          <w:sz w:val="24"/>
          <w:szCs w:val="24"/>
        </w:rPr>
        <w:t xml:space="preserve"> have in place appropriate policies and procedures to mitigate these</w:t>
      </w:r>
      <w:r w:rsidR="008F5D23" w:rsidRPr="00EB497B">
        <w:rPr>
          <w:spacing w:val="-8"/>
          <w:sz w:val="24"/>
          <w:szCs w:val="24"/>
        </w:rPr>
        <w:t xml:space="preserve"> </w:t>
      </w:r>
      <w:r w:rsidR="008F5D23" w:rsidRPr="00EB497B">
        <w:rPr>
          <w:sz w:val="24"/>
          <w:szCs w:val="24"/>
        </w:rPr>
        <w:t>risks.</w:t>
      </w:r>
    </w:p>
    <w:p w14:paraId="3DD748EB" w14:textId="07152223" w:rsidR="004F4142" w:rsidRDefault="004F4142" w:rsidP="00EB497B">
      <w:pPr>
        <w:pStyle w:val="BodyText"/>
        <w:ind w:left="160" w:right="483"/>
        <w:jc w:val="both"/>
        <w:rPr>
          <w:sz w:val="24"/>
          <w:szCs w:val="24"/>
        </w:rPr>
      </w:pPr>
    </w:p>
    <w:p w14:paraId="6DB00A3C" w14:textId="77777777" w:rsidR="002A56DD" w:rsidRDefault="002A56DD" w:rsidP="00B444A6">
      <w:pPr>
        <w:pStyle w:val="BodyText"/>
        <w:ind w:right="483"/>
        <w:jc w:val="both"/>
        <w:rPr>
          <w:b/>
          <w:color w:val="365F91" w:themeColor="accent1" w:themeShade="BF"/>
          <w:sz w:val="24"/>
          <w:szCs w:val="24"/>
        </w:rPr>
        <w:sectPr w:rsidR="002A56DD">
          <w:pgSz w:w="11910" w:h="16840"/>
          <w:pgMar w:top="1340" w:right="980" w:bottom="280" w:left="1280" w:header="720" w:footer="720" w:gutter="0"/>
          <w:cols w:space="720"/>
        </w:sectPr>
      </w:pPr>
    </w:p>
    <w:p w14:paraId="50CB461F" w14:textId="14CEE26D" w:rsidR="004F4142" w:rsidRPr="00CD1A52" w:rsidRDefault="004F4142" w:rsidP="00CD1A52">
      <w:pPr>
        <w:pStyle w:val="BodyText"/>
        <w:numPr>
          <w:ilvl w:val="0"/>
          <w:numId w:val="12"/>
        </w:numPr>
        <w:ind w:right="483" w:hanging="520"/>
        <w:jc w:val="both"/>
        <w:rPr>
          <w:b/>
          <w:color w:val="365F91" w:themeColor="accent1" w:themeShade="BF"/>
          <w:sz w:val="24"/>
          <w:szCs w:val="24"/>
        </w:rPr>
      </w:pPr>
      <w:r w:rsidRPr="00CD1A52">
        <w:rPr>
          <w:b/>
          <w:color w:val="365F91" w:themeColor="accent1" w:themeShade="BF"/>
          <w:sz w:val="24"/>
          <w:szCs w:val="24"/>
        </w:rPr>
        <w:lastRenderedPageBreak/>
        <w:t xml:space="preserve">Risk Assessments </w:t>
      </w:r>
    </w:p>
    <w:p w14:paraId="16901830" w14:textId="77777777" w:rsidR="001607C9" w:rsidRPr="00EB497B" w:rsidRDefault="001607C9" w:rsidP="00EB497B">
      <w:pPr>
        <w:pStyle w:val="BodyText"/>
        <w:spacing w:before="11"/>
        <w:jc w:val="both"/>
        <w:rPr>
          <w:sz w:val="24"/>
          <w:szCs w:val="24"/>
        </w:rPr>
      </w:pPr>
    </w:p>
    <w:p w14:paraId="30FCA60E" w14:textId="77777777" w:rsidR="001607C9" w:rsidRPr="00EB497B" w:rsidRDefault="001E2AE8" w:rsidP="00B444A6">
      <w:pPr>
        <w:pStyle w:val="BodyText"/>
        <w:spacing w:before="93"/>
        <w:ind w:right="587"/>
        <w:jc w:val="both"/>
        <w:rPr>
          <w:sz w:val="24"/>
          <w:szCs w:val="24"/>
        </w:rPr>
      </w:pPr>
      <w:r>
        <w:rPr>
          <w:sz w:val="24"/>
          <w:szCs w:val="24"/>
        </w:rPr>
        <w:t>All p</w:t>
      </w:r>
      <w:r w:rsidR="008F5D23" w:rsidRPr="00EB497B">
        <w:rPr>
          <w:sz w:val="24"/>
          <w:szCs w:val="24"/>
        </w:rPr>
        <w:t>remises that provide facilities for gambling must be assessed to identify any local risks posed by the provision of gambling facilities in their local area. Operators should carry out assessments for;</w:t>
      </w:r>
    </w:p>
    <w:p w14:paraId="677B3EE6" w14:textId="77777777" w:rsidR="001607C9" w:rsidRPr="00EB497B" w:rsidRDefault="001607C9" w:rsidP="00EB497B">
      <w:pPr>
        <w:pStyle w:val="BodyText"/>
        <w:spacing w:before="9"/>
        <w:jc w:val="both"/>
        <w:rPr>
          <w:sz w:val="24"/>
          <w:szCs w:val="24"/>
        </w:rPr>
      </w:pPr>
    </w:p>
    <w:p w14:paraId="7E28F942" w14:textId="77777777" w:rsidR="001607C9" w:rsidRDefault="008F5D23" w:rsidP="00B444A6">
      <w:pPr>
        <w:pStyle w:val="Heading1"/>
        <w:tabs>
          <w:tab w:val="left" w:pos="930"/>
          <w:tab w:val="left" w:pos="931"/>
        </w:tabs>
        <w:spacing w:before="1" w:line="244" w:lineRule="exact"/>
        <w:ind w:left="0"/>
        <w:jc w:val="both"/>
        <w:rPr>
          <w:sz w:val="24"/>
          <w:szCs w:val="24"/>
        </w:rPr>
      </w:pPr>
      <w:r w:rsidRPr="00EB497B">
        <w:rPr>
          <w:sz w:val="24"/>
          <w:szCs w:val="24"/>
        </w:rPr>
        <w:t>New Premises Licence</w:t>
      </w:r>
      <w:r w:rsidRPr="00EB497B">
        <w:rPr>
          <w:spacing w:val="-1"/>
          <w:sz w:val="24"/>
          <w:szCs w:val="24"/>
        </w:rPr>
        <w:t xml:space="preserve"> </w:t>
      </w:r>
      <w:r w:rsidRPr="00EB497B">
        <w:rPr>
          <w:sz w:val="24"/>
          <w:szCs w:val="24"/>
        </w:rPr>
        <w:t>applications</w:t>
      </w:r>
    </w:p>
    <w:p w14:paraId="04EF54E9" w14:textId="77777777" w:rsidR="001E2AE8" w:rsidRPr="00EB497B" w:rsidRDefault="001E2AE8" w:rsidP="001E2AE8">
      <w:pPr>
        <w:pStyle w:val="Heading1"/>
        <w:tabs>
          <w:tab w:val="left" w:pos="930"/>
          <w:tab w:val="left" w:pos="931"/>
        </w:tabs>
        <w:spacing w:before="1" w:line="244" w:lineRule="exact"/>
        <w:ind w:left="930"/>
        <w:jc w:val="both"/>
        <w:rPr>
          <w:sz w:val="24"/>
          <w:szCs w:val="24"/>
        </w:rPr>
      </w:pPr>
    </w:p>
    <w:p w14:paraId="6C9932E7" w14:textId="77777777" w:rsidR="001607C9" w:rsidRDefault="008F5D23" w:rsidP="00B444A6">
      <w:pPr>
        <w:pStyle w:val="BodyText"/>
        <w:ind w:right="474"/>
        <w:jc w:val="both"/>
        <w:rPr>
          <w:sz w:val="24"/>
          <w:szCs w:val="24"/>
        </w:rPr>
      </w:pPr>
      <w:r w:rsidRPr="00EB497B">
        <w:rPr>
          <w:sz w:val="24"/>
          <w:szCs w:val="24"/>
        </w:rPr>
        <w:t xml:space="preserve">If an operator intends to apply for a new premises licence under Part 8 of the </w:t>
      </w:r>
      <w:proofErr w:type="gramStart"/>
      <w:r w:rsidRPr="00EB497B">
        <w:rPr>
          <w:sz w:val="24"/>
          <w:szCs w:val="24"/>
        </w:rPr>
        <w:t>Act</w:t>
      </w:r>
      <w:proofErr w:type="gramEnd"/>
      <w:r w:rsidRPr="00EB497B">
        <w:rPr>
          <w:sz w:val="24"/>
          <w:szCs w:val="24"/>
        </w:rPr>
        <w:t xml:space="preserve"> then a local risk assessment must be carried out as required by the Commissions </w:t>
      </w:r>
      <w:proofErr w:type="spellStart"/>
      <w:r w:rsidRPr="00EB497B">
        <w:rPr>
          <w:sz w:val="24"/>
          <w:szCs w:val="24"/>
        </w:rPr>
        <w:t>LCCP</w:t>
      </w:r>
      <w:proofErr w:type="spellEnd"/>
      <w:r w:rsidRPr="00EB497B">
        <w:rPr>
          <w:sz w:val="24"/>
          <w:szCs w:val="24"/>
        </w:rPr>
        <w:t xml:space="preserve"> social responsibility code provision 10.1.1. That assessment should be based on how the premises are proposed to operate at the premises location and must </w:t>
      </w:r>
      <w:proofErr w:type="gramStart"/>
      <w:r w:rsidRPr="00EB497B">
        <w:rPr>
          <w:sz w:val="24"/>
          <w:szCs w:val="24"/>
        </w:rPr>
        <w:t>take into account</w:t>
      </w:r>
      <w:proofErr w:type="gramEnd"/>
      <w:r w:rsidRPr="00EB497B">
        <w:rPr>
          <w:sz w:val="24"/>
          <w:szCs w:val="24"/>
        </w:rPr>
        <w:t xml:space="preserve"> the local area. The completed assessment should be provided with the application for a new premises licence upon submission to the Licensing Authority.</w:t>
      </w:r>
    </w:p>
    <w:p w14:paraId="4C42B3F7" w14:textId="77777777" w:rsidR="001E2AE8" w:rsidRDefault="001E2AE8" w:rsidP="001E2AE8">
      <w:pPr>
        <w:pStyle w:val="BodyText"/>
        <w:ind w:left="930" w:right="474"/>
        <w:jc w:val="both"/>
        <w:rPr>
          <w:sz w:val="24"/>
          <w:szCs w:val="24"/>
        </w:rPr>
      </w:pPr>
    </w:p>
    <w:p w14:paraId="35FEE1DF" w14:textId="77777777" w:rsidR="001E2AE8" w:rsidRPr="00EB497B" w:rsidRDefault="001E2AE8" w:rsidP="001E2AE8">
      <w:pPr>
        <w:pStyle w:val="BodyText"/>
        <w:ind w:left="930" w:right="474"/>
        <w:jc w:val="both"/>
        <w:rPr>
          <w:sz w:val="24"/>
          <w:szCs w:val="24"/>
        </w:rPr>
      </w:pPr>
    </w:p>
    <w:p w14:paraId="0E2C0B5F" w14:textId="77777777" w:rsidR="001607C9" w:rsidRDefault="008F5D23" w:rsidP="00CD1A52">
      <w:pPr>
        <w:pStyle w:val="Heading1"/>
        <w:numPr>
          <w:ilvl w:val="0"/>
          <w:numId w:val="2"/>
        </w:numPr>
        <w:ind w:left="540" w:hanging="630"/>
        <w:jc w:val="both"/>
        <w:rPr>
          <w:sz w:val="24"/>
          <w:szCs w:val="24"/>
        </w:rPr>
      </w:pPr>
      <w:r w:rsidRPr="00EB497B">
        <w:rPr>
          <w:sz w:val="24"/>
          <w:szCs w:val="24"/>
        </w:rPr>
        <w:t>Premises situated in an area where significant changes</w:t>
      </w:r>
      <w:r w:rsidRPr="00EB497B">
        <w:rPr>
          <w:spacing w:val="-3"/>
          <w:sz w:val="24"/>
          <w:szCs w:val="24"/>
        </w:rPr>
        <w:t xml:space="preserve"> </w:t>
      </w:r>
      <w:r w:rsidRPr="00EB497B">
        <w:rPr>
          <w:sz w:val="24"/>
          <w:szCs w:val="24"/>
        </w:rPr>
        <w:t>occur</w:t>
      </w:r>
    </w:p>
    <w:p w14:paraId="4ABCE971" w14:textId="77777777" w:rsidR="001E2AE8" w:rsidRPr="00EB497B" w:rsidRDefault="001E2AE8" w:rsidP="001E2AE8">
      <w:pPr>
        <w:pStyle w:val="Heading1"/>
        <w:tabs>
          <w:tab w:val="left" w:pos="930"/>
          <w:tab w:val="left" w:pos="931"/>
        </w:tabs>
        <w:ind w:left="930"/>
        <w:jc w:val="both"/>
        <w:rPr>
          <w:sz w:val="24"/>
          <w:szCs w:val="24"/>
        </w:rPr>
      </w:pPr>
    </w:p>
    <w:p w14:paraId="4C547B27" w14:textId="77777777" w:rsidR="001607C9" w:rsidRPr="00EB497B" w:rsidRDefault="008F5D23" w:rsidP="00CD1A52">
      <w:pPr>
        <w:pStyle w:val="BodyText"/>
        <w:spacing w:before="1"/>
        <w:ind w:right="418"/>
        <w:jc w:val="both"/>
        <w:rPr>
          <w:sz w:val="24"/>
          <w:szCs w:val="24"/>
        </w:rPr>
      </w:pPr>
      <w:r w:rsidRPr="00EB497B">
        <w:rPr>
          <w:sz w:val="24"/>
          <w:szCs w:val="24"/>
        </w:rPr>
        <w:t>Operators are required to review their local risk assessment if significant changes in local circumstances occur. Changes to local circumstances happen frequently and can be either temporary or permanent depending on the change, how long that change will remain in place and how it affects the local area. However, the requirement for review of the risk assessment is only applicable when that change is significant.</w:t>
      </w:r>
    </w:p>
    <w:p w14:paraId="60055E9C" w14:textId="77777777" w:rsidR="001607C9" w:rsidRPr="00EB497B" w:rsidRDefault="001607C9" w:rsidP="00EB497B">
      <w:pPr>
        <w:pStyle w:val="BodyText"/>
        <w:spacing w:before="9"/>
        <w:jc w:val="both"/>
        <w:rPr>
          <w:sz w:val="24"/>
          <w:szCs w:val="24"/>
        </w:rPr>
      </w:pPr>
    </w:p>
    <w:p w14:paraId="490B5F89" w14:textId="77777777" w:rsidR="00383151" w:rsidRPr="00EB497B" w:rsidRDefault="00383151" w:rsidP="00383151">
      <w:pPr>
        <w:pStyle w:val="BodyText"/>
        <w:jc w:val="both"/>
        <w:rPr>
          <w:sz w:val="24"/>
          <w:szCs w:val="24"/>
        </w:rPr>
      </w:pPr>
    </w:p>
    <w:p w14:paraId="545CF4F1" w14:textId="77777777" w:rsidR="001607C9" w:rsidRPr="00EB497B" w:rsidRDefault="00383151" w:rsidP="00CD1A52">
      <w:pPr>
        <w:pStyle w:val="BodyText"/>
        <w:spacing w:before="1"/>
        <w:ind w:right="509"/>
        <w:jc w:val="both"/>
        <w:rPr>
          <w:sz w:val="24"/>
          <w:szCs w:val="24"/>
        </w:rPr>
      </w:pPr>
      <w:r>
        <w:rPr>
          <w:sz w:val="24"/>
          <w:szCs w:val="24"/>
        </w:rPr>
        <w:t xml:space="preserve">In any circumstance where it is necessary to </w:t>
      </w:r>
      <w:r w:rsidRPr="00EB497B">
        <w:rPr>
          <w:sz w:val="24"/>
          <w:szCs w:val="24"/>
        </w:rPr>
        <w:t>update and amend the existing risk assessment</w:t>
      </w:r>
      <w:r>
        <w:rPr>
          <w:sz w:val="24"/>
          <w:szCs w:val="24"/>
        </w:rPr>
        <w:t xml:space="preserve"> the </w:t>
      </w:r>
      <w:r w:rsidRPr="00EB497B">
        <w:rPr>
          <w:sz w:val="24"/>
          <w:szCs w:val="24"/>
        </w:rPr>
        <w:t xml:space="preserve">operator </w:t>
      </w:r>
      <w:r>
        <w:rPr>
          <w:sz w:val="24"/>
          <w:szCs w:val="24"/>
        </w:rPr>
        <w:t xml:space="preserve">will need to </w:t>
      </w:r>
      <w:r w:rsidRPr="00EB497B">
        <w:rPr>
          <w:sz w:val="24"/>
          <w:szCs w:val="24"/>
        </w:rPr>
        <w:t xml:space="preserve">ensure that their assessments are updated </w:t>
      </w:r>
      <w:r>
        <w:rPr>
          <w:sz w:val="24"/>
          <w:szCs w:val="24"/>
        </w:rPr>
        <w:t>appropriately</w:t>
      </w:r>
      <w:r w:rsidRPr="00EB497B">
        <w:rPr>
          <w:sz w:val="24"/>
          <w:szCs w:val="24"/>
        </w:rPr>
        <w:t xml:space="preserve"> and that any relevant control measures are introduced </w:t>
      </w:r>
      <w:r>
        <w:rPr>
          <w:sz w:val="24"/>
          <w:szCs w:val="24"/>
        </w:rPr>
        <w:t xml:space="preserve">accordingly.  It may be the case however, that following a review </w:t>
      </w:r>
      <w:r w:rsidR="008F5D23" w:rsidRPr="00EB497B">
        <w:rPr>
          <w:sz w:val="24"/>
          <w:szCs w:val="24"/>
        </w:rPr>
        <w:t xml:space="preserve">no action is necessary as the measures and systems already in place will mitigate any risk associated with that significant change. In </w:t>
      </w:r>
      <w:r>
        <w:rPr>
          <w:sz w:val="24"/>
          <w:szCs w:val="24"/>
        </w:rPr>
        <w:t>these circumstances</w:t>
      </w:r>
      <w:r w:rsidR="008F5D23" w:rsidRPr="00EB497B">
        <w:rPr>
          <w:sz w:val="24"/>
          <w:szCs w:val="24"/>
        </w:rPr>
        <w:t xml:space="preserve"> gambling operators may record that a review has </w:t>
      </w:r>
      <w:r>
        <w:rPr>
          <w:sz w:val="24"/>
          <w:szCs w:val="24"/>
        </w:rPr>
        <w:t xml:space="preserve">been undertaken, the reasons for it, </w:t>
      </w:r>
      <w:r w:rsidR="008F5D23" w:rsidRPr="00EB497B">
        <w:rPr>
          <w:sz w:val="24"/>
          <w:szCs w:val="24"/>
        </w:rPr>
        <w:t>and that no action was necessary. This would enable the gambling operator to maintain an appropriate audit trail.</w:t>
      </w:r>
    </w:p>
    <w:p w14:paraId="0D2DAA27" w14:textId="77777777" w:rsidR="001607C9" w:rsidRPr="00EB497B" w:rsidRDefault="001607C9" w:rsidP="00EB497B">
      <w:pPr>
        <w:pStyle w:val="BodyText"/>
        <w:spacing w:before="2"/>
        <w:jc w:val="both"/>
        <w:rPr>
          <w:sz w:val="24"/>
          <w:szCs w:val="24"/>
        </w:rPr>
      </w:pPr>
    </w:p>
    <w:p w14:paraId="2BE56386" w14:textId="77777777" w:rsidR="001607C9" w:rsidRPr="00EB497B" w:rsidRDefault="008F5D23" w:rsidP="00CD1A52">
      <w:pPr>
        <w:pStyle w:val="BodyText"/>
        <w:ind w:right="633"/>
        <w:jc w:val="both"/>
        <w:rPr>
          <w:sz w:val="24"/>
          <w:szCs w:val="24"/>
        </w:rPr>
      </w:pPr>
      <w:r w:rsidRPr="00EB497B">
        <w:rPr>
          <w:sz w:val="24"/>
          <w:szCs w:val="24"/>
        </w:rPr>
        <w:t>The Gambling Commission has not set out what a ‘significant change’ means, therefore it is the operator’s responsibility to identify this and review the risk assessment accordingly.</w:t>
      </w:r>
    </w:p>
    <w:p w14:paraId="1A27DEDA" w14:textId="77777777" w:rsidR="001607C9" w:rsidRPr="00EB497B" w:rsidRDefault="001607C9" w:rsidP="00EB497B">
      <w:pPr>
        <w:pStyle w:val="BodyText"/>
        <w:spacing w:before="9"/>
        <w:jc w:val="both"/>
        <w:rPr>
          <w:sz w:val="24"/>
          <w:szCs w:val="24"/>
        </w:rPr>
      </w:pPr>
    </w:p>
    <w:p w14:paraId="069D1C81" w14:textId="77777777" w:rsidR="001607C9" w:rsidRDefault="008F5D23" w:rsidP="00CD1A52">
      <w:pPr>
        <w:pStyle w:val="Heading1"/>
        <w:numPr>
          <w:ilvl w:val="0"/>
          <w:numId w:val="2"/>
        </w:numPr>
        <w:tabs>
          <w:tab w:val="left" w:pos="540"/>
        </w:tabs>
        <w:spacing w:line="244" w:lineRule="exact"/>
        <w:ind w:hanging="1020"/>
        <w:jc w:val="both"/>
        <w:rPr>
          <w:sz w:val="24"/>
          <w:szCs w:val="24"/>
        </w:rPr>
      </w:pPr>
      <w:r w:rsidRPr="00EB497B">
        <w:rPr>
          <w:sz w:val="24"/>
          <w:szCs w:val="24"/>
        </w:rPr>
        <w:t>Premises where significant changes</w:t>
      </w:r>
      <w:r w:rsidRPr="00EB497B">
        <w:rPr>
          <w:spacing w:val="-4"/>
          <w:sz w:val="24"/>
          <w:szCs w:val="24"/>
        </w:rPr>
        <w:t xml:space="preserve"> </w:t>
      </w:r>
      <w:r w:rsidRPr="00EB497B">
        <w:rPr>
          <w:sz w:val="24"/>
          <w:szCs w:val="24"/>
        </w:rPr>
        <w:t>occur</w:t>
      </w:r>
    </w:p>
    <w:p w14:paraId="545B2308" w14:textId="77777777" w:rsidR="00383151" w:rsidRPr="00EB497B" w:rsidRDefault="00383151" w:rsidP="00383151">
      <w:pPr>
        <w:pStyle w:val="Heading1"/>
        <w:tabs>
          <w:tab w:val="left" w:pos="930"/>
          <w:tab w:val="left" w:pos="931"/>
        </w:tabs>
        <w:spacing w:line="244" w:lineRule="exact"/>
        <w:ind w:left="570"/>
        <w:jc w:val="both"/>
        <w:rPr>
          <w:sz w:val="24"/>
          <w:szCs w:val="24"/>
        </w:rPr>
      </w:pPr>
    </w:p>
    <w:p w14:paraId="475BBD27" w14:textId="77777777" w:rsidR="001607C9" w:rsidRPr="00EB497B" w:rsidRDefault="008F5D23" w:rsidP="00B444A6">
      <w:pPr>
        <w:pStyle w:val="BodyText"/>
        <w:ind w:right="686"/>
        <w:jc w:val="both"/>
        <w:rPr>
          <w:sz w:val="24"/>
          <w:szCs w:val="24"/>
        </w:rPr>
      </w:pPr>
      <w:r w:rsidRPr="00EB497B">
        <w:rPr>
          <w:sz w:val="24"/>
          <w:szCs w:val="24"/>
        </w:rPr>
        <w:t xml:space="preserve">From time to time operators will undertake </w:t>
      </w:r>
      <w:r w:rsidR="00383151">
        <w:rPr>
          <w:sz w:val="24"/>
          <w:szCs w:val="24"/>
        </w:rPr>
        <w:t xml:space="preserve">minor alterations to a </w:t>
      </w:r>
      <w:r w:rsidRPr="00EB497B">
        <w:rPr>
          <w:sz w:val="24"/>
          <w:szCs w:val="24"/>
        </w:rPr>
        <w:t>premises' layout and décor, which</w:t>
      </w:r>
      <w:r w:rsidRPr="00EB497B">
        <w:rPr>
          <w:spacing w:val="-35"/>
          <w:sz w:val="24"/>
          <w:szCs w:val="24"/>
        </w:rPr>
        <w:t xml:space="preserve"> </w:t>
      </w:r>
      <w:r w:rsidRPr="00EB497B">
        <w:rPr>
          <w:sz w:val="24"/>
          <w:szCs w:val="24"/>
        </w:rPr>
        <w:t>is unlikely to prompt a review of the risk assessment for that premises. However, where there is</w:t>
      </w:r>
      <w:r w:rsidRPr="00EB497B">
        <w:rPr>
          <w:spacing w:val="-31"/>
          <w:sz w:val="24"/>
          <w:szCs w:val="24"/>
        </w:rPr>
        <w:t xml:space="preserve"> </w:t>
      </w:r>
      <w:r w:rsidRPr="00EB497B">
        <w:rPr>
          <w:sz w:val="24"/>
          <w:szCs w:val="24"/>
        </w:rPr>
        <w:t>a significant change at the premises that may affect the mitigation of local risks, then an</w:t>
      </w:r>
      <w:r w:rsidRPr="00EB497B">
        <w:rPr>
          <w:spacing w:val="-26"/>
          <w:sz w:val="24"/>
          <w:szCs w:val="24"/>
        </w:rPr>
        <w:t xml:space="preserve"> </w:t>
      </w:r>
      <w:r w:rsidRPr="00EB497B">
        <w:rPr>
          <w:sz w:val="24"/>
          <w:szCs w:val="24"/>
        </w:rPr>
        <w:t>operato</w:t>
      </w:r>
      <w:r w:rsidR="00383151">
        <w:rPr>
          <w:sz w:val="24"/>
          <w:szCs w:val="24"/>
        </w:rPr>
        <w:t xml:space="preserve">r </w:t>
      </w:r>
      <w:r w:rsidRPr="00EB497B">
        <w:rPr>
          <w:sz w:val="24"/>
          <w:szCs w:val="24"/>
        </w:rPr>
        <w:t xml:space="preserve">must review its risk assessment and if </w:t>
      </w:r>
      <w:r w:rsidR="00383151" w:rsidRPr="00EB497B">
        <w:rPr>
          <w:sz w:val="24"/>
          <w:szCs w:val="24"/>
        </w:rPr>
        <w:t>necessary,</w:t>
      </w:r>
      <w:r w:rsidRPr="00EB497B">
        <w:rPr>
          <w:sz w:val="24"/>
          <w:szCs w:val="24"/>
        </w:rPr>
        <w:t xml:space="preserve"> update it, </w:t>
      </w:r>
      <w:proofErr w:type="gramStart"/>
      <w:r w:rsidRPr="00EB497B">
        <w:rPr>
          <w:sz w:val="24"/>
          <w:szCs w:val="24"/>
        </w:rPr>
        <w:t>taking into account</w:t>
      </w:r>
      <w:proofErr w:type="gramEnd"/>
      <w:r w:rsidRPr="00EB497B">
        <w:rPr>
          <w:sz w:val="24"/>
          <w:szCs w:val="24"/>
        </w:rPr>
        <w:t xml:space="preserve"> the change and how it may affect one or more of the licensing objectives.</w:t>
      </w:r>
    </w:p>
    <w:p w14:paraId="25745371" w14:textId="77777777" w:rsidR="001607C9" w:rsidRPr="00EB497B" w:rsidRDefault="001607C9" w:rsidP="00EB497B">
      <w:pPr>
        <w:pStyle w:val="BodyText"/>
        <w:spacing w:before="10"/>
        <w:jc w:val="both"/>
        <w:rPr>
          <w:sz w:val="24"/>
          <w:szCs w:val="24"/>
        </w:rPr>
      </w:pPr>
    </w:p>
    <w:p w14:paraId="7AB1DA75" w14:textId="0766074F" w:rsidR="001607C9" w:rsidRDefault="008F5D23" w:rsidP="00B444A6">
      <w:pPr>
        <w:pStyle w:val="BodyText"/>
        <w:ind w:right="418"/>
        <w:jc w:val="both"/>
        <w:rPr>
          <w:sz w:val="24"/>
          <w:szCs w:val="24"/>
        </w:rPr>
      </w:pPr>
      <w:r w:rsidRPr="00EB497B">
        <w:rPr>
          <w:sz w:val="24"/>
          <w:szCs w:val="24"/>
        </w:rPr>
        <w:t>It is expected that gambling operators will undertake this risk assessment process as a matter of course for any premises refit, changes to layout or internal control measures. If any changes do require a review of the risk assessments for that premises gambling operators should ensure that they have a system in place to record and action any measures identified in that review.</w:t>
      </w:r>
    </w:p>
    <w:p w14:paraId="70330763" w14:textId="70AF48D0" w:rsidR="00CD1A52" w:rsidRDefault="00CD1A52" w:rsidP="00B444A6">
      <w:pPr>
        <w:pStyle w:val="BodyText"/>
        <w:ind w:right="418"/>
        <w:jc w:val="both"/>
        <w:rPr>
          <w:sz w:val="24"/>
          <w:szCs w:val="24"/>
        </w:rPr>
      </w:pPr>
    </w:p>
    <w:p w14:paraId="0F894A7A" w14:textId="77777777" w:rsidR="00CD1A52" w:rsidRPr="00EB497B" w:rsidRDefault="00CD1A52" w:rsidP="00B444A6">
      <w:pPr>
        <w:pStyle w:val="BodyText"/>
        <w:ind w:right="418"/>
        <w:jc w:val="both"/>
        <w:rPr>
          <w:sz w:val="24"/>
          <w:szCs w:val="24"/>
        </w:rPr>
      </w:pPr>
    </w:p>
    <w:p w14:paraId="1416B47D" w14:textId="77777777" w:rsidR="001607C9" w:rsidRPr="00EB497B" w:rsidRDefault="001607C9" w:rsidP="00EB497B">
      <w:pPr>
        <w:pStyle w:val="BodyText"/>
        <w:spacing w:before="1"/>
        <w:jc w:val="both"/>
        <w:rPr>
          <w:sz w:val="24"/>
          <w:szCs w:val="24"/>
        </w:rPr>
      </w:pPr>
    </w:p>
    <w:p w14:paraId="4616EE29" w14:textId="77777777" w:rsidR="001607C9" w:rsidRDefault="008F5D23" w:rsidP="00CD1A52">
      <w:pPr>
        <w:pStyle w:val="Heading1"/>
        <w:numPr>
          <w:ilvl w:val="0"/>
          <w:numId w:val="14"/>
        </w:numPr>
        <w:tabs>
          <w:tab w:val="left" w:pos="720"/>
        </w:tabs>
        <w:spacing w:line="244" w:lineRule="exact"/>
        <w:ind w:hanging="720"/>
        <w:jc w:val="both"/>
        <w:rPr>
          <w:sz w:val="24"/>
          <w:szCs w:val="24"/>
        </w:rPr>
      </w:pPr>
      <w:r w:rsidRPr="00EB497B">
        <w:rPr>
          <w:sz w:val="24"/>
          <w:szCs w:val="24"/>
        </w:rPr>
        <w:t>Variation to the Premises</w:t>
      </w:r>
      <w:r w:rsidRPr="00EB497B">
        <w:rPr>
          <w:spacing w:val="-1"/>
          <w:sz w:val="24"/>
          <w:szCs w:val="24"/>
        </w:rPr>
        <w:t xml:space="preserve"> </w:t>
      </w:r>
      <w:r w:rsidRPr="00EB497B">
        <w:rPr>
          <w:sz w:val="24"/>
          <w:szCs w:val="24"/>
        </w:rPr>
        <w:t>Licence</w:t>
      </w:r>
    </w:p>
    <w:p w14:paraId="6B4A30AE" w14:textId="77777777" w:rsidR="00CD1A52" w:rsidRDefault="00CD1A52" w:rsidP="00CD1A52">
      <w:pPr>
        <w:pStyle w:val="BodyText"/>
        <w:ind w:right="600"/>
        <w:jc w:val="both"/>
        <w:rPr>
          <w:b/>
          <w:bCs/>
          <w:sz w:val="24"/>
          <w:szCs w:val="24"/>
        </w:rPr>
      </w:pPr>
    </w:p>
    <w:p w14:paraId="49ED484E" w14:textId="668A862C" w:rsidR="001607C9" w:rsidRPr="00EB497B" w:rsidRDefault="008F5D23" w:rsidP="00CD1A52">
      <w:pPr>
        <w:pStyle w:val="BodyText"/>
        <w:ind w:right="600"/>
        <w:jc w:val="both"/>
        <w:rPr>
          <w:sz w:val="24"/>
          <w:szCs w:val="24"/>
        </w:rPr>
      </w:pPr>
      <w:r w:rsidRPr="00EB497B">
        <w:rPr>
          <w:sz w:val="24"/>
          <w:szCs w:val="24"/>
        </w:rPr>
        <w:t>Variations to premises licences are only those required to be made under section 187 of the Act and will not include changes of circumstances such as a change of premises' name or a change of licensee's address, etc.</w:t>
      </w:r>
    </w:p>
    <w:p w14:paraId="2EFBBBEB" w14:textId="77777777" w:rsidR="001607C9" w:rsidRPr="00EB497B" w:rsidRDefault="001607C9" w:rsidP="00EB497B">
      <w:pPr>
        <w:pStyle w:val="BodyText"/>
        <w:spacing w:before="10"/>
        <w:jc w:val="both"/>
        <w:rPr>
          <w:sz w:val="24"/>
          <w:szCs w:val="24"/>
        </w:rPr>
      </w:pPr>
    </w:p>
    <w:p w14:paraId="0A64E936" w14:textId="1CFD861C" w:rsidR="001607C9" w:rsidRPr="00EB497B" w:rsidRDefault="008F5D23" w:rsidP="00CD1A52">
      <w:pPr>
        <w:pStyle w:val="BodyText"/>
        <w:ind w:right="565"/>
        <w:jc w:val="both"/>
        <w:rPr>
          <w:sz w:val="24"/>
          <w:szCs w:val="24"/>
        </w:rPr>
      </w:pPr>
      <w:r w:rsidRPr="00EB497B">
        <w:rPr>
          <w:sz w:val="24"/>
          <w:szCs w:val="24"/>
        </w:rPr>
        <w:t xml:space="preserve">The Commissions </w:t>
      </w:r>
      <w:proofErr w:type="spellStart"/>
      <w:r w:rsidRPr="00EB497B">
        <w:rPr>
          <w:sz w:val="24"/>
          <w:szCs w:val="24"/>
        </w:rPr>
        <w:t>LCCP</w:t>
      </w:r>
      <w:proofErr w:type="spellEnd"/>
      <w:r w:rsidRPr="00EB497B">
        <w:rPr>
          <w:sz w:val="24"/>
          <w:szCs w:val="24"/>
        </w:rPr>
        <w:t xml:space="preserve"> social responsibility code provision 10.1.1 requires that gambling operators must undertake a review of the local risk assessment and update it if necessary when preparing an application to vary the premises licence. Operators submitting a variation application to the </w:t>
      </w:r>
      <w:r w:rsidR="0072517E">
        <w:rPr>
          <w:sz w:val="24"/>
          <w:szCs w:val="24"/>
        </w:rPr>
        <w:t xml:space="preserve">Board </w:t>
      </w:r>
      <w:r w:rsidRPr="00EB497B">
        <w:rPr>
          <w:sz w:val="24"/>
          <w:szCs w:val="24"/>
        </w:rPr>
        <w:t xml:space="preserve">may consider submitting a copy of the reviewed local risk assessment when submitting the application. This will then negate the need for the </w:t>
      </w:r>
      <w:r w:rsidR="0072517E">
        <w:rPr>
          <w:sz w:val="24"/>
          <w:szCs w:val="24"/>
        </w:rPr>
        <w:t xml:space="preserve">Board to </w:t>
      </w:r>
      <w:r w:rsidRPr="00EB497B">
        <w:rPr>
          <w:sz w:val="24"/>
          <w:szCs w:val="24"/>
        </w:rPr>
        <w:t>reques</w:t>
      </w:r>
      <w:r w:rsidR="0072517E">
        <w:rPr>
          <w:sz w:val="24"/>
          <w:szCs w:val="24"/>
        </w:rPr>
        <w:t>t</w:t>
      </w:r>
      <w:r w:rsidRPr="00EB497B">
        <w:rPr>
          <w:sz w:val="24"/>
          <w:szCs w:val="24"/>
        </w:rPr>
        <w:t xml:space="preserve"> to see a copy of th</w:t>
      </w:r>
      <w:r w:rsidR="0072517E">
        <w:rPr>
          <w:sz w:val="24"/>
          <w:szCs w:val="24"/>
        </w:rPr>
        <w:t>e</w:t>
      </w:r>
      <w:r w:rsidRPr="00EB497B">
        <w:rPr>
          <w:sz w:val="24"/>
          <w:szCs w:val="24"/>
        </w:rPr>
        <w:t xml:space="preserve"> risk assessment and could potentially reduce the likelihood of a representation being made </w:t>
      </w:r>
      <w:r w:rsidR="0072517E">
        <w:rPr>
          <w:sz w:val="24"/>
          <w:szCs w:val="24"/>
        </w:rPr>
        <w:t>in respect of</w:t>
      </w:r>
      <w:r w:rsidRPr="00EB497B">
        <w:rPr>
          <w:sz w:val="24"/>
          <w:szCs w:val="24"/>
        </w:rPr>
        <w:t xml:space="preserve"> application.</w:t>
      </w:r>
    </w:p>
    <w:p w14:paraId="5C5370FE" w14:textId="77777777" w:rsidR="001607C9" w:rsidRPr="00EB497B" w:rsidRDefault="001607C9" w:rsidP="00EB497B">
      <w:pPr>
        <w:pStyle w:val="BodyText"/>
        <w:spacing w:before="1"/>
        <w:jc w:val="both"/>
        <w:rPr>
          <w:sz w:val="24"/>
          <w:szCs w:val="24"/>
        </w:rPr>
      </w:pPr>
    </w:p>
    <w:p w14:paraId="082298D8" w14:textId="77777777" w:rsidR="001607C9" w:rsidRPr="00EB497B" w:rsidRDefault="001607C9" w:rsidP="00EB497B">
      <w:pPr>
        <w:pStyle w:val="BodyText"/>
        <w:spacing w:before="8"/>
        <w:jc w:val="both"/>
        <w:rPr>
          <w:sz w:val="24"/>
          <w:szCs w:val="24"/>
        </w:rPr>
      </w:pPr>
    </w:p>
    <w:p w14:paraId="324E3E68" w14:textId="77777777" w:rsidR="001607C9" w:rsidRPr="00EB497B" w:rsidRDefault="008F5D23" w:rsidP="00CD1A52">
      <w:pPr>
        <w:pStyle w:val="Heading1"/>
        <w:numPr>
          <w:ilvl w:val="0"/>
          <w:numId w:val="13"/>
        </w:numPr>
        <w:ind w:left="630" w:hanging="630"/>
        <w:jc w:val="both"/>
        <w:rPr>
          <w:sz w:val="24"/>
          <w:szCs w:val="24"/>
        </w:rPr>
      </w:pPr>
      <w:r w:rsidRPr="00EB497B">
        <w:rPr>
          <w:sz w:val="24"/>
          <w:szCs w:val="24"/>
        </w:rPr>
        <w:t>Regular reviews of the risk assessment</w:t>
      </w:r>
    </w:p>
    <w:p w14:paraId="7EBCEE80" w14:textId="77777777" w:rsidR="00F64780" w:rsidRDefault="00F64780" w:rsidP="00EB497B">
      <w:pPr>
        <w:pStyle w:val="BodyText"/>
        <w:spacing w:before="3"/>
        <w:ind w:left="570" w:right="509"/>
        <w:jc w:val="both"/>
        <w:rPr>
          <w:sz w:val="24"/>
          <w:szCs w:val="24"/>
        </w:rPr>
      </w:pPr>
    </w:p>
    <w:p w14:paraId="311692B9" w14:textId="77777777" w:rsidR="001607C9" w:rsidRPr="00EB497B" w:rsidRDefault="008F5D23" w:rsidP="00B444A6">
      <w:pPr>
        <w:pStyle w:val="BodyText"/>
        <w:spacing w:before="3"/>
        <w:ind w:right="509"/>
        <w:jc w:val="both"/>
        <w:rPr>
          <w:sz w:val="24"/>
          <w:szCs w:val="24"/>
        </w:rPr>
      </w:pPr>
      <w:r w:rsidRPr="00EB497B">
        <w:rPr>
          <w:sz w:val="24"/>
          <w:szCs w:val="24"/>
        </w:rPr>
        <w:t xml:space="preserve">As a matter of best </w:t>
      </w:r>
      <w:proofErr w:type="gramStart"/>
      <w:r w:rsidRPr="00EB497B">
        <w:rPr>
          <w:sz w:val="24"/>
          <w:szCs w:val="24"/>
        </w:rPr>
        <w:t>practice</w:t>
      </w:r>
      <w:proofErr w:type="gramEnd"/>
      <w:r w:rsidRPr="00EB497B">
        <w:rPr>
          <w:sz w:val="24"/>
          <w:szCs w:val="24"/>
        </w:rPr>
        <w:t xml:space="preserve"> the </w:t>
      </w:r>
      <w:r w:rsidR="00F64780">
        <w:rPr>
          <w:sz w:val="24"/>
          <w:szCs w:val="24"/>
        </w:rPr>
        <w:t xml:space="preserve">Board </w:t>
      </w:r>
      <w:r w:rsidRPr="00EB497B">
        <w:rPr>
          <w:sz w:val="24"/>
          <w:szCs w:val="24"/>
        </w:rPr>
        <w:t xml:space="preserve">recommends that operators establish a regular review regime in respect of their local risk assessments. This review programme would ensure that, regardless of </w:t>
      </w:r>
      <w:proofErr w:type="gramStart"/>
      <w:r w:rsidRPr="00EB497B">
        <w:rPr>
          <w:sz w:val="24"/>
          <w:szCs w:val="24"/>
        </w:rPr>
        <w:t>whether or not</w:t>
      </w:r>
      <w:proofErr w:type="gramEnd"/>
      <w:r w:rsidRPr="00EB497B">
        <w:rPr>
          <w:sz w:val="24"/>
          <w:szCs w:val="24"/>
        </w:rPr>
        <w:t xml:space="preserve"> any of the trigger events set out above have occurred, these risk assessments are considered at regular intervals and updated if necessary.</w:t>
      </w:r>
    </w:p>
    <w:p w14:paraId="4A077E2D" w14:textId="77777777" w:rsidR="001607C9" w:rsidRPr="00EB497B" w:rsidRDefault="001607C9" w:rsidP="00EB497B">
      <w:pPr>
        <w:pStyle w:val="BodyText"/>
        <w:spacing w:before="1"/>
        <w:jc w:val="both"/>
        <w:rPr>
          <w:sz w:val="24"/>
          <w:szCs w:val="24"/>
        </w:rPr>
      </w:pPr>
    </w:p>
    <w:p w14:paraId="1C805C51" w14:textId="0AE89755" w:rsidR="001607C9" w:rsidRPr="00EB497B" w:rsidRDefault="218DC876" w:rsidP="218DC876">
      <w:pPr>
        <w:pStyle w:val="BodyText"/>
        <w:ind w:right="555"/>
        <w:jc w:val="both"/>
        <w:rPr>
          <w:sz w:val="24"/>
          <w:szCs w:val="24"/>
        </w:rPr>
      </w:pPr>
      <w:r w:rsidRPr="218DC876">
        <w:rPr>
          <w:sz w:val="24"/>
          <w:szCs w:val="24"/>
        </w:rPr>
        <w:t xml:space="preserve">It is up to the gambling operator to determine the frequency of these </w:t>
      </w:r>
      <w:proofErr w:type="gramStart"/>
      <w:r w:rsidRPr="218DC876">
        <w:rPr>
          <w:sz w:val="24"/>
          <w:szCs w:val="24"/>
        </w:rPr>
        <w:t>reviews</w:t>
      </w:r>
      <w:proofErr w:type="gramEnd"/>
      <w:r w:rsidRPr="218DC876">
        <w:rPr>
          <w:sz w:val="24"/>
          <w:szCs w:val="24"/>
        </w:rPr>
        <w:t xml:space="preserve"> but it is recommended that no more than three years should pass before these assessments are reviewed.</w:t>
      </w:r>
    </w:p>
    <w:p w14:paraId="03624C59" w14:textId="77777777" w:rsidR="001607C9" w:rsidRPr="00EB497B" w:rsidRDefault="001607C9" w:rsidP="00EB497B">
      <w:pPr>
        <w:pStyle w:val="BodyText"/>
        <w:spacing w:before="10"/>
        <w:jc w:val="both"/>
        <w:rPr>
          <w:sz w:val="24"/>
          <w:szCs w:val="24"/>
        </w:rPr>
      </w:pPr>
    </w:p>
    <w:p w14:paraId="6D17994B" w14:textId="77777777" w:rsidR="001607C9" w:rsidRPr="00EB497B" w:rsidRDefault="00F64780" w:rsidP="00F64780">
      <w:pPr>
        <w:pStyle w:val="BodyText"/>
        <w:spacing w:before="1"/>
        <w:ind w:right="587"/>
        <w:jc w:val="both"/>
        <w:rPr>
          <w:sz w:val="24"/>
          <w:szCs w:val="24"/>
        </w:rPr>
      </w:pPr>
      <w:r>
        <w:rPr>
          <w:sz w:val="24"/>
          <w:szCs w:val="24"/>
        </w:rPr>
        <w:t>For the avoidance of doubt</w:t>
      </w:r>
      <w:r w:rsidR="008F5D23" w:rsidRPr="00EB497B">
        <w:rPr>
          <w:sz w:val="24"/>
          <w:szCs w:val="24"/>
        </w:rPr>
        <w:t>, this local risk assessment process is not the same as other forms of risk assessment undertaken by gambling operators, such as Health and Safety at Work, Fire Safety and Food Hygiene, etc. These local risk assessments are specific to the potential harm that gambling premises can have on one or more of the licensing objectives under the Act. They are specific to the premises, the local area and the local community.</w:t>
      </w:r>
    </w:p>
    <w:p w14:paraId="2804BEA7" w14:textId="77777777" w:rsidR="001607C9" w:rsidRPr="00EB497B" w:rsidRDefault="001607C9" w:rsidP="00EB497B">
      <w:pPr>
        <w:pStyle w:val="BodyText"/>
        <w:jc w:val="both"/>
        <w:rPr>
          <w:sz w:val="24"/>
          <w:szCs w:val="24"/>
        </w:rPr>
      </w:pPr>
    </w:p>
    <w:p w14:paraId="5912E0F6" w14:textId="77777777" w:rsidR="001607C9" w:rsidRPr="00EB497B" w:rsidRDefault="008F5D23" w:rsidP="00CD1A52">
      <w:pPr>
        <w:pStyle w:val="Heading1"/>
        <w:numPr>
          <w:ilvl w:val="0"/>
          <w:numId w:val="13"/>
        </w:numPr>
        <w:spacing w:before="160"/>
        <w:ind w:left="630" w:hanging="630"/>
        <w:jc w:val="both"/>
        <w:rPr>
          <w:sz w:val="24"/>
          <w:szCs w:val="24"/>
        </w:rPr>
      </w:pPr>
      <w:r w:rsidRPr="00EB497B">
        <w:rPr>
          <w:sz w:val="24"/>
          <w:szCs w:val="24"/>
        </w:rPr>
        <w:t>Writing a Risk Assessment</w:t>
      </w:r>
    </w:p>
    <w:p w14:paraId="444D2478" w14:textId="77777777" w:rsidR="001607C9" w:rsidRPr="00EB497B" w:rsidRDefault="001607C9" w:rsidP="00EB497B">
      <w:pPr>
        <w:pStyle w:val="BodyText"/>
        <w:jc w:val="both"/>
        <w:rPr>
          <w:b/>
          <w:sz w:val="24"/>
          <w:szCs w:val="24"/>
        </w:rPr>
      </w:pPr>
    </w:p>
    <w:p w14:paraId="5E7CE709" w14:textId="77777777" w:rsidR="001607C9" w:rsidRPr="00EB497B" w:rsidRDefault="008F5D23" w:rsidP="00150148">
      <w:pPr>
        <w:pStyle w:val="BodyText"/>
        <w:ind w:right="587"/>
        <w:jc w:val="both"/>
        <w:rPr>
          <w:sz w:val="24"/>
          <w:szCs w:val="24"/>
        </w:rPr>
      </w:pPr>
      <w:r w:rsidRPr="00EB497B">
        <w:rPr>
          <w:sz w:val="24"/>
          <w:szCs w:val="24"/>
        </w:rPr>
        <w:t xml:space="preserve">It is ultimately up to the operator to decide how to conduct the assessment, and who should conduct the assessment, although it should be taken into consideration that failure to carry out this function properly could result in a breach of the provisions of the </w:t>
      </w:r>
      <w:proofErr w:type="spellStart"/>
      <w:r w:rsidRPr="00EB497B">
        <w:rPr>
          <w:sz w:val="24"/>
          <w:szCs w:val="24"/>
        </w:rPr>
        <w:t>LCCP</w:t>
      </w:r>
      <w:proofErr w:type="spellEnd"/>
      <w:r w:rsidRPr="00EB497B">
        <w:rPr>
          <w:sz w:val="24"/>
          <w:szCs w:val="24"/>
        </w:rPr>
        <w:t>.</w:t>
      </w:r>
    </w:p>
    <w:p w14:paraId="78B81D22" w14:textId="77777777" w:rsidR="001607C9" w:rsidRPr="00EB497B" w:rsidRDefault="001607C9" w:rsidP="00EB497B">
      <w:pPr>
        <w:pStyle w:val="BodyText"/>
        <w:spacing w:before="2"/>
        <w:jc w:val="both"/>
        <w:rPr>
          <w:sz w:val="24"/>
          <w:szCs w:val="24"/>
        </w:rPr>
      </w:pPr>
    </w:p>
    <w:p w14:paraId="4A428B86" w14:textId="77777777" w:rsidR="001607C9" w:rsidRPr="00EB497B" w:rsidRDefault="008F5D23" w:rsidP="00150148">
      <w:pPr>
        <w:pStyle w:val="BodyText"/>
        <w:spacing w:before="1"/>
        <w:jc w:val="both"/>
        <w:rPr>
          <w:sz w:val="24"/>
          <w:szCs w:val="24"/>
        </w:rPr>
      </w:pPr>
      <w:r w:rsidRPr="00EB497B">
        <w:rPr>
          <w:sz w:val="24"/>
          <w:szCs w:val="24"/>
        </w:rPr>
        <w:t>There are two specific parts to the risk assessment process:</w:t>
      </w:r>
    </w:p>
    <w:p w14:paraId="75EF7C5A" w14:textId="77777777" w:rsidR="001607C9" w:rsidRPr="00EB497B" w:rsidRDefault="001607C9" w:rsidP="00EB497B">
      <w:pPr>
        <w:pStyle w:val="BodyText"/>
        <w:spacing w:before="9"/>
        <w:jc w:val="both"/>
        <w:rPr>
          <w:sz w:val="24"/>
          <w:szCs w:val="24"/>
        </w:rPr>
      </w:pPr>
    </w:p>
    <w:p w14:paraId="7F827F61" w14:textId="77777777" w:rsidR="001607C9" w:rsidRPr="00150148" w:rsidRDefault="008F5D23" w:rsidP="00150148">
      <w:pPr>
        <w:pStyle w:val="ListParagraph"/>
        <w:numPr>
          <w:ilvl w:val="0"/>
          <w:numId w:val="9"/>
        </w:numPr>
        <w:tabs>
          <w:tab w:val="left" w:pos="880"/>
          <w:tab w:val="left" w:pos="881"/>
        </w:tabs>
        <w:spacing w:before="1"/>
        <w:jc w:val="both"/>
        <w:rPr>
          <w:sz w:val="24"/>
          <w:szCs w:val="24"/>
        </w:rPr>
      </w:pPr>
      <w:r w:rsidRPr="00150148">
        <w:rPr>
          <w:sz w:val="24"/>
          <w:szCs w:val="24"/>
        </w:rPr>
        <w:t>the assessment of the local</w:t>
      </w:r>
      <w:r w:rsidRPr="00150148">
        <w:rPr>
          <w:spacing w:val="-2"/>
          <w:sz w:val="24"/>
          <w:szCs w:val="24"/>
        </w:rPr>
        <w:t xml:space="preserve"> </w:t>
      </w:r>
      <w:r w:rsidRPr="00150148">
        <w:rPr>
          <w:sz w:val="24"/>
          <w:szCs w:val="24"/>
        </w:rPr>
        <w:t>risks</w:t>
      </w:r>
    </w:p>
    <w:p w14:paraId="4C5DA1A7" w14:textId="77777777" w:rsidR="001607C9" w:rsidRPr="00150148" w:rsidRDefault="008F5D23" w:rsidP="00150148">
      <w:pPr>
        <w:pStyle w:val="ListParagraph"/>
        <w:numPr>
          <w:ilvl w:val="0"/>
          <w:numId w:val="9"/>
        </w:numPr>
        <w:tabs>
          <w:tab w:val="left" w:pos="880"/>
          <w:tab w:val="left" w:pos="881"/>
        </w:tabs>
        <w:jc w:val="both"/>
        <w:rPr>
          <w:sz w:val="24"/>
          <w:szCs w:val="24"/>
        </w:rPr>
      </w:pPr>
      <w:r w:rsidRPr="00150148">
        <w:rPr>
          <w:sz w:val="24"/>
          <w:szCs w:val="24"/>
        </w:rPr>
        <w:t>the determination of appropriate mitigation to reduce those</w:t>
      </w:r>
      <w:r w:rsidRPr="00150148">
        <w:rPr>
          <w:spacing w:val="-6"/>
          <w:sz w:val="24"/>
          <w:szCs w:val="24"/>
        </w:rPr>
        <w:t xml:space="preserve"> </w:t>
      </w:r>
      <w:r w:rsidRPr="00150148">
        <w:rPr>
          <w:sz w:val="24"/>
          <w:szCs w:val="24"/>
        </w:rPr>
        <w:t>risks</w:t>
      </w:r>
    </w:p>
    <w:p w14:paraId="3F0F4F6C" w14:textId="77777777" w:rsidR="001607C9" w:rsidRPr="00EB497B" w:rsidRDefault="001607C9" w:rsidP="00EB497B">
      <w:pPr>
        <w:pStyle w:val="BodyText"/>
        <w:spacing w:before="1"/>
        <w:jc w:val="both"/>
        <w:rPr>
          <w:sz w:val="24"/>
          <w:szCs w:val="24"/>
        </w:rPr>
      </w:pPr>
    </w:p>
    <w:p w14:paraId="50A2B905" w14:textId="4535009F" w:rsidR="001607C9" w:rsidRPr="00EB497B" w:rsidRDefault="008F5D23" w:rsidP="00150148">
      <w:pPr>
        <w:pStyle w:val="BodyText"/>
        <w:ind w:right="587"/>
        <w:jc w:val="both"/>
        <w:rPr>
          <w:sz w:val="24"/>
          <w:szCs w:val="24"/>
        </w:rPr>
      </w:pPr>
      <w:r w:rsidRPr="00EB497B">
        <w:rPr>
          <w:sz w:val="24"/>
          <w:szCs w:val="24"/>
        </w:rPr>
        <w:t xml:space="preserve">The risks that operators must identify relate to the potential impact a gambling premises and its operation may have on the licensing </w:t>
      </w:r>
      <w:r w:rsidR="00A51B3D" w:rsidRPr="00EB497B">
        <w:rPr>
          <w:sz w:val="24"/>
          <w:szCs w:val="24"/>
        </w:rPr>
        <w:t>objectives.</w:t>
      </w:r>
      <w:r w:rsidRPr="00EB497B">
        <w:rPr>
          <w:sz w:val="24"/>
          <w:szCs w:val="24"/>
        </w:rPr>
        <w:t xml:space="preserve"> The level of any given risk will have a direct impact on the type and extent of the control measures that the gambling operators deems as being necessary to mitigate such risk.</w:t>
      </w:r>
    </w:p>
    <w:p w14:paraId="6CABC297" w14:textId="77777777" w:rsidR="00150148" w:rsidRDefault="00150148" w:rsidP="00150148">
      <w:pPr>
        <w:pStyle w:val="BodyText"/>
        <w:jc w:val="both"/>
        <w:rPr>
          <w:sz w:val="24"/>
          <w:szCs w:val="24"/>
        </w:rPr>
      </w:pPr>
    </w:p>
    <w:p w14:paraId="285B8F99" w14:textId="77777777" w:rsidR="00C657F1" w:rsidRDefault="00C657F1" w:rsidP="00150148">
      <w:pPr>
        <w:pStyle w:val="BodyText"/>
        <w:jc w:val="both"/>
        <w:rPr>
          <w:sz w:val="24"/>
          <w:szCs w:val="24"/>
        </w:rPr>
      </w:pPr>
    </w:p>
    <w:p w14:paraId="3F591BB3" w14:textId="77777777" w:rsidR="00C657F1" w:rsidRDefault="00C657F1" w:rsidP="00150148">
      <w:pPr>
        <w:pStyle w:val="BodyText"/>
        <w:jc w:val="both"/>
        <w:rPr>
          <w:sz w:val="24"/>
          <w:szCs w:val="24"/>
        </w:rPr>
      </w:pPr>
    </w:p>
    <w:p w14:paraId="08B3F1ED" w14:textId="77777777" w:rsidR="00C657F1" w:rsidRDefault="00C657F1" w:rsidP="00150148">
      <w:pPr>
        <w:pStyle w:val="BodyText"/>
        <w:jc w:val="both"/>
        <w:rPr>
          <w:sz w:val="24"/>
          <w:szCs w:val="24"/>
        </w:rPr>
      </w:pPr>
    </w:p>
    <w:p w14:paraId="6C83F2F2" w14:textId="5888871B" w:rsidR="001607C9" w:rsidRPr="00EB497B" w:rsidRDefault="008F5D23" w:rsidP="00150148">
      <w:pPr>
        <w:pStyle w:val="BodyText"/>
        <w:jc w:val="both"/>
        <w:rPr>
          <w:sz w:val="24"/>
          <w:szCs w:val="24"/>
        </w:rPr>
      </w:pPr>
      <w:r w:rsidRPr="00EB497B">
        <w:rPr>
          <w:sz w:val="24"/>
          <w:szCs w:val="24"/>
        </w:rPr>
        <w:t>An operator should consider the following factors when undertaking their local risk assessment;</w:t>
      </w:r>
    </w:p>
    <w:p w14:paraId="558E4287" w14:textId="77777777" w:rsidR="00150148" w:rsidRDefault="00150148" w:rsidP="00150148">
      <w:pPr>
        <w:pStyle w:val="Heading1"/>
        <w:tabs>
          <w:tab w:val="left" w:pos="880"/>
          <w:tab w:val="left" w:pos="881"/>
        </w:tabs>
        <w:spacing w:line="244" w:lineRule="exact"/>
        <w:ind w:left="0"/>
        <w:jc w:val="both"/>
        <w:rPr>
          <w:b w:val="0"/>
          <w:bCs w:val="0"/>
          <w:sz w:val="24"/>
          <w:szCs w:val="24"/>
        </w:rPr>
      </w:pPr>
    </w:p>
    <w:p w14:paraId="75FBF5F5" w14:textId="105BFA18" w:rsidR="001607C9" w:rsidRDefault="008F5D23" w:rsidP="00150148">
      <w:pPr>
        <w:pStyle w:val="Heading1"/>
        <w:numPr>
          <w:ilvl w:val="0"/>
          <w:numId w:val="10"/>
        </w:numPr>
        <w:tabs>
          <w:tab w:val="left" w:pos="880"/>
          <w:tab w:val="left" w:pos="881"/>
        </w:tabs>
        <w:spacing w:line="244" w:lineRule="exact"/>
        <w:jc w:val="both"/>
        <w:rPr>
          <w:sz w:val="24"/>
          <w:szCs w:val="24"/>
        </w:rPr>
      </w:pPr>
      <w:r w:rsidRPr="00EB497B">
        <w:rPr>
          <w:sz w:val="24"/>
          <w:szCs w:val="24"/>
        </w:rPr>
        <w:t>Local Area</w:t>
      </w:r>
      <w:r w:rsidRPr="00EB497B">
        <w:rPr>
          <w:spacing w:val="2"/>
          <w:sz w:val="24"/>
          <w:szCs w:val="24"/>
        </w:rPr>
        <w:t xml:space="preserve"> </w:t>
      </w:r>
    </w:p>
    <w:p w14:paraId="325460AB" w14:textId="77777777" w:rsidR="00C24D72" w:rsidRPr="00EB497B" w:rsidRDefault="00C24D72" w:rsidP="00C24D72">
      <w:pPr>
        <w:pStyle w:val="Heading1"/>
        <w:tabs>
          <w:tab w:val="left" w:pos="880"/>
          <w:tab w:val="left" w:pos="881"/>
        </w:tabs>
        <w:spacing w:line="244" w:lineRule="exact"/>
        <w:ind w:left="880"/>
        <w:jc w:val="both"/>
        <w:rPr>
          <w:sz w:val="24"/>
          <w:szCs w:val="24"/>
        </w:rPr>
      </w:pPr>
    </w:p>
    <w:p w14:paraId="5E17AF70" w14:textId="0D5E3697" w:rsidR="001607C9" w:rsidRPr="00EB497B" w:rsidRDefault="008F5D23" w:rsidP="32709476">
      <w:pPr>
        <w:pStyle w:val="BodyText"/>
        <w:ind w:left="-90" w:right="478"/>
        <w:jc w:val="both"/>
        <w:rPr>
          <w:sz w:val="24"/>
          <w:szCs w:val="24"/>
        </w:rPr>
      </w:pPr>
      <w:r w:rsidRPr="00EB497B">
        <w:rPr>
          <w:sz w:val="24"/>
          <w:szCs w:val="24"/>
        </w:rPr>
        <w:t xml:space="preserve">The assessor </w:t>
      </w:r>
      <w:r w:rsidR="00E24BE5">
        <w:rPr>
          <w:sz w:val="24"/>
          <w:szCs w:val="24"/>
        </w:rPr>
        <w:t xml:space="preserve">may wish to </w:t>
      </w:r>
      <w:r w:rsidRPr="00EB497B">
        <w:rPr>
          <w:sz w:val="24"/>
          <w:szCs w:val="24"/>
        </w:rPr>
        <w:t xml:space="preserve">make use of local area data from the </w:t>
      </w:r>
      <w:r w:rsidR="006247D2">
        <w:rPr>
          <w:sz w:val="24"/>
          <w:szCs w:val="24"/>
        </w:rPr>
        <w:t>Aberdeen City Licensing</w:t>
      </w:r>
      <w:r w:rsidR="002F7557">
        <w:rPr>
          <w:sz w:val="24"/>
          <w:szCs w:val="24"/>
        </w:rPr>
        <w:t> </w:t>
      </w:r>
      <w:r w:rsidR="006247D2">
        <w:rPr>
          <w:sz w:val="24"/>
          <w:szCs w:val="24"/>
        </w:rPr>
        <w:t>Board</w:t>
      </w:r>
      <w:r w:rsidR="002F7557">
        <w:rPr>
          <w:sz w:val="24"/>
          <w:szCs w:val="24"/>
        </w:rPr>
        <w:t>’s </w:t>
      </w:r>
      <w:r w:rsidR="00DB4D2A">
        <w:rPr>
          <w:sz w:val="24"/>
          <w:szCs w:val="24"/>
        </w:rPr>
        <w:t>interactive</w:t>
      </w:r>
      <w:r w:rsidR="002F7557">
        <w:rPr>
          <w:sz w:val="24"/>
          <w:szCs w:val="24"/>
        </w:rPr>
        <w:t> </w:t>
      </w:r>
      <w:r w:rsidR="00DB4D2A">
        <w:rPr>
          <w:sz w:val="24"/>
          <w:szCs w:val="24"/>
        </w:rPr>
        <w:t xml:space="preserve">map </w:t>
      </w:r>
      <w:hyperlink r:id="rId7" w:history="1">
        <w:r w:rsidR="00DB4D2A" w:rsidRPr="00B30060">
          <w:rPr>
            <w:rStyle w:val="Hyperlink"/>
            <w:sz w:val="24"/>
            <w:szCs w:val="24"/>
          </w:rPr>
          <w:t>http://accabdn.maps.arcgis.com/apps/webappviewer/index.html?id=397aaf4ccf094e0fb0be9ff32fc3930f</w:t>
        </w:r>
      </w:hyperlink>
      <w:r w:rsidR="00A613B0">
        <w:rPr>
          <w:sz w:val="24"/>
          <w:szCs w:val="24"/>
        </w:rPr>
        <w:t xml:space="preserve"> </w:t>
      </w:r>
      <w:r w:rsidRPr="00EB497B">
        <w:rPr>
          <w:sz w:val="24"/>
          <w:szCs w:val="24"/>
        </w:rPr>
        <w:t>to identify potential factors for risk in the area surrounding the premises, along with gathering an understanding of the specific characteristics of the local area, and the people who live and work</w:t>
      </w:r>
      <w:r w:rsidRPr="00EB497B">
        <w:rPr>
          <w:spacing w:val="2"/>
          <w:sz w:val="24"/>
          <w:szCs w:val="24"/>
        </w:rPr>
        <w:t xml:space="preserve"> </w:t>
      </w:r>
      <w:r w:rsidRPr="00EB497B">
        <w:rPr>
          <w:sz w:val="24"/>
          <w:szCs w:val="24"/>
        </w:rPr>
        <w:t>there.</w:t>
      </w:r>
      <w:r w:rsidR="00A613B0" w:rsidRPr="00A613B0">
        <w:rPr>
          <w:sz w:val="24"/>
          <w:szCs w:val="24"/>
        </w:rPr>
        <w:t xml:space="preserve"> </w:t>
      </w:r>
      <w:r w:rsidR="00A613B0">
        <w:rPr>
          <w:sz w:val="24"/>
          <w:szCs w:val="24"/>
        </w:rPr>
        <w:t xml:space="preserve">(see section 3 for further details)  </w:t>
      </w:r>
    </w:p>
    <w:p w14:paraId="5D5A72BE" w14:textId="77777777" w:rsidR="00445094" w:rsidRDefault="00445094" w:rsidP="00EB497B">
      <w:pPr>
        <w:pStyle w:val="BodyText"/>
        <w:spacing w:before="1"/>
        <w:ind w:left="880"/>
        <w:jc w:val="both"/>
        <w:rPr>
          <w:sz w:val="24"/>
          <w:szCs w:val="24"/>
        </w:rPr>
      </w:pPr>
    </w:p>
    <w:p w14:paraId="4BD5AA05" w14:textId="75A5E272" w:rsidR="001607C9" w:rsidRDefault="008F5D23" w:rsidP="00150148">
      <w:pPr>
        <w:pStyle w:val="BodyText"/>
        <w:spacing w:before="1"/>
        <w:jc w:val="both"/>
        <w:rPr>
          <w:sz w:val="24"/>
          <w:szCs w:val="24"/>
        </w:rPr>
      </w:pPr>
      <w:r w:rsidRPr="00EB497B">
        <w:rPr>
          <w:sz w:val="24"/>
          <w:szCs w:val="24"/>
        </w:rPr>
        <w:t xml:space="preserve">The </w:t>
      </w:r>
      <w:r w:rsidR="00445094">
        <w:rPr>
          <w:sz w:val="24"/>
          <w:szCs w:val="24"/>
        </w:rPr>
        <w:t xml:space="preserve">Board </w:t>
      </w:r>
      <w:r w:rsidRPr="00EB497B">
        <w:rPr>
          <w:sz w:val="24"/>
          <w:szCs w:val="24"/>
        </w:rPr>
        <w:t>will expect the local risk assessment to consider as a minimum;</w:t>
      </w:r>
    </w:p>
    <w:p w14:paraId="77ED299E" w14:textId="77777777" w:rsidR="00ED71BF" w:rsidRPr="00EB497B" w:rsidRDefault="00ED71BF" w:rsidP="00EB497B">
      <w:pPr>
        <w:pStyle w:val="BodyText"/>
        <w:spacing w:before="1"/>
        <w:ind w:left="880"/>
        <w:jc w:val="both"/>
        <w:rPr>
          <w:sz w:val="24"/>
          <w:szCs w:val="24"/>
        </w:rPr>
      </w:pPr>
    </w:p>
    <w:p w14:paraId="5EE868B1" w14:textId="77777777" w:rsidR="001607C9" w:rsidRPr="00ED71BF" w:rsidRDefault="008F5D23" w:rsidP="218DC876">
      <w:pPr>
        <w:pStyle w:val="ListParagraph"/>
        <w:numPr>
          <w:ilvl w:val="0"/>
          <w:numId w:val="8"/>
        </w:numPr>
        <w:tabs>
          <w:tab w:val="left" w:pos="1240"/>
          <w:tab w:val="left" w:pos="1241"/>
        </w:tabs>
        <w:spacing w:after="100" w:afterAutospacing="1"/>
        <w:ind w:left="900" w:right="806" w:hanging="450"/>
        <w:jc w:val="both"/>
        <w:rPr>
          <w:sz w:val="24"/>
          <w:szCs w:val="24"/>
        </w:rPr>
      </w:pPr>
      <w:r w:rsidRPr="00ED71BF">
        <w:rPr>
          <w:sz w:val="24"/>
          <w:szCs w:val="24"/>
        </w:rPr>
        <w:t>The location of services for children, such as schools, playgrounds,</w:t>
      </w:r>
      <w:r w:rsidRPr="00ED71BF">
        <w:rPr>
          <w:spacing w:val="-24"/>
          <w:sz w:val="24"/>
          <w:szCs w:val="24"/>
        </w:rPr>
        <w:t xml:space="preserve"> </w:t>
      </w:r>
      <w:r w:rsidRPr="00ED71BF">
        <w:rPr>
          <w:sz w:val="24"/>
          <w:szCs w:val="24"/>
        </w:rPr>
        <w:t>leisure/community centres and other areas where children will</w:t>
      </w:r>
      <w:r w:rsidRPr="00ED71BF">
        <w:rPr>
          <w:spacing w:val="2"/>
          <w:sz w:val="24"/>
          <w:szCs w:val="24"/>
        </w:rPr>
        <w:t xml:space="preserve"> </w:t>
      </w:r>
      <w:r w:rsidRPr="00ED71BF">
        <w:rPr>
          <w:sz w:val="24"/>
          <w:szCs w:val="24"/>
        </w:rPr>
        <w:t>gather</w:t>
      </w:r>
    </w:p>
    <w:p w14:paraId="15053734" w14:textId="77777777" w:rsidR="001607C9" w:rsidRPr="00ED71BF" w:rsidRDefault="008F5D23" w:rsidP="00150148">
      <w:pPr>
        <w:pStyle w:val="ListParagraph"/>
        <w:numPr>
          <w:ilvl w:val="0"/>
          <w:numId w:val="8"/>
        </w:numPr>
        <w:tabs>
          <w:tab w:val="left" w:pos="1240"/>
          <w:tab w:val="left" w:pos="1241"/>
        </w:tabs>
        <w:spacing w:before="1" w:after="100" w:afterAutospacing="1"/>
        <w:ind w:left="900" w:right="536" w:hanging="450"/>
        <w:jc w:val="both"/>
        <w:rPr>
          <w:sz w:val="24"/>
          <w:szCs w:val="24"/>
        </w:rPr>
      </w:pPr>
      <w:r w:rsidRPr="00ED71BF">
        <w:rPr>
          <w:sz w:val="24"/>
          <w:szCs w:val="24"/>
        </w:rPr>
        <w:t>Where children are permitted on the premises or part of the premises any additional risks associated with potential access by children to</w:t>
      </w:r>
      <w:r w:rsidRPr="00ED71BF">
        <w:rPr>
          <w:spacing w:val="-5"/>
          <w:sz w:val="24"/>
          <w:szCs w:val="24"/>
        </w:rPr>
        <w:t xml:space="preserve"> </w:t>
      </w:r>
      <w:r w:rsidRPr="00ED71BF">
        <w:rPr>
          <w:sz w:val="24"/>
          <w:szCs w:val="24"/>
        </w:rPr>
        <w:t>gambling.</w:t>
      </w:r>
    </w:p>
    <w:p w14:paraId="042384C2" w14:textId="77777777" w:rsidR="001607C9" w:rsidRPr="00ED71BF" w:rsidRDefault="008F5D23" w:rsidP="00150148">
      <w:pPr>
        <w:pStyle w:val="ListParagraph"/>
        <w:numPr>
          <w:ilvl w:val="0"/>
          <w:numId w:val="8"/>
        </w:numPr>
        <w:tabs>
          <w:tab w:val="left" w:pos="1240"/>
          <w:tab w:val="left" w:pos="1241"/>
        </w:tabs>
        <w:spacing w:after="100" w:afterAutospacing="1"/>
        <w:ind w:left="900" w:right="549" w:hanging="450"/>
        <w:jc w:val="both"/>
        <w:rPr>
          <w:sz w:val="24"/>
          <w:szCs w:val="24"/>
        </w:rPr>
      </w:pPr>
      <w:r w:rsidRPr="00ED71BF">
        <w:rPr>
          <w:sz w:val="24"/>
          <w:szCs w:val="24"/>
        </w:rPr>
        <w:t xml:space="preserve">The location of </w:t>
      </w:r>
      <w:proofErr w:type="gramStart"/>
      <w:r w:rsidRPr="00ED71BF">
        <w:rPr>
          <w:sz w:val="24"/>
          <w:szCs w:val="24"/>
        </w:rPr>
        <w:t>health related</w:t>
      </w:r>
      <w:proofErr w:type="gramEnd"/>
      <w:r w:rsidRPr="00ED71BF">
        <w:rPr>
          <w:sz w:val="24"/>
          <w:szCs w:val="24"/>
        </w:rPr>
        <w:t xml:space="preserve"> services such as hospitals, clinics or health centres. </w:t>
      </w:r>
      <w:proofErr w:type="gramStart"/>
      <w:r w:rsidRPr="00ED71BF">
        <w:rPr>
          <w:sz w:val="24"/>
          <w:szCs w:val="24"/>
        </w:rPr>
        <w:t>In particular operators</w:t>
      </w:r>
      <w:proofErr w:type="gramEnd"/>
      <w:r w:rsidRPr="00ED71BF">
        <w:rPr>
          <w:sz w:val="24"/>
          <w:szCs w:val="24"/>
        </w:rPr>
        <w:t xml:space="preserve"> should consider any mental health services, services for people with learning disabilities, drug, alcohol or gambling dependency services, or other services</w:t>
      </w:r>
      <w:r w:rsidRPr="00ED71BF">
        <w:rPr>
          <w:spacing w:val="-26"/>
          <w:sz w:val="24"/>
          <w:szCs w:val="24"/>
        </w:rPr>
        <w:t xml:space="preserve"> </w:t>
      </w:r>
      <w:r w:rsidRPr="00ED71BF">
        <w:rPr>
          <w:sz w:val="24"/>
          <w:szCs w:val="24"/>
        </w:rPr>
        <w:t>for vulnerable</w:t>
      </w:r>
      <w:r w:rsidRPr="00ED71BF">
        <w:rPr>
          <w:spacing w:val="-2"/>
          <w:sz w:val="24"/>
          <w:szCs w:val="24"/>
        </w:rPr>
        <w:t xml:space="preserve"> </w:t>
      </w:r>
      <w:r w:rsidRPr="00ED71BF">
        <w:rPr>
          <w:sz w:val="24"/>
          <w:szCs w:val="24"/>
        </w:rPr>
        <w:t>groups.</w:t>
      </w:r>
    </w:p>
    <w:p w14:paraId="61A8C929" w14:textId="77777777" w:rsidR="001607C9" w:rsidRPr="00ED71BF" w:rsidRDefault="008F5D23" w:rsidP="00150148">
      <w:pPr>
        <w:pStyle w:val="ListParagraph"/>
        <w:numPr>
          <w:ilvl w:val="0"/>
          <w:numId w:val="8"/>
        </w:numPr>
        <w:tabs>
          <w:tab w:val="left" w:pos="1240"/>
          <w:tab w:val="left" w:pos="1241"/>
        </w:tabs>
        <w:spacing w:before="1" w:after="100" w:afterAutospacing="1"/>
        <w:ind w:left="900" w:hanging="450"/>
        <w:jc w:val="both"/>
        <w:rPr>
          <w:sz w:val="24"/>
          <w:szCs w:val="24"/>
        </w:rPr>
      </w:pPr>
      <w:r w:rsidRPr="00ED71BF">
        <w:rPr>
          <w:sz w:val="24"/>
          <w:szCs w:val="24"/>
        </w:rPr>
        <w:t>The demographics of an area in relation to vulnerable</w:t>
      </w:r>
      <w:r w:rsidRPr="00ED71BF">
        <w:rPr>
          <w:spacing w:val="-2"/>
          <w:sz w:val="24"/>
          <w:szCs w:val="24"/>
        </w:rPr>
        <w:t xml:space="preserve"> </w:t>
      </w:r>
      <w:r w:rsidRPr="00ED71BF">
        <w:rPr>
          <w:sz w:val="24"/>
          <w:szCs w:val="24"/>
        </w:rPr>
        <w:t>groups</w:t>
      </w:r>
    </w:p>
    <w:p w14:paraId="233A1D10" w14:textId="77777777" w:rsidR="001607C9" w:rsidRPr="00ED71BF" w:rsidRDefault="008F5D23" w:rsidP="00150148">
      <w:pPr>
        <w:pStyle w:val="ListParagraph"/>
        <w:numPr>
          <w:ilvl w:val="0"/>
          <w:numId w:val="8"/>
        </w:numPr>
        <w:tabs>
          <w:tab w:val="left" w:pos="1241"/>
        </w:tabs>
        <w:spacing w:after="100" w:afterAutospacing="1"/>
        <w:ind w:left="900" w:right="661" w:hanging="450"/>
        <w:jc w:val="both"/>
        <w:rPr>
          <w:sz w:val="24"/>
          <w:szCs w:val="24"/>
        </w:rPr>
      </w:pPr>
      <w:r w:rsidRPr="00ED71BF">
        <w:rPr>
          <w:sz w:val="24"/>
          <w:szCs w:val="24"/>
        </w:rPr>
        <w:t>The demographics of the area in relation to notices and guidance that will feature in the premises, specifically whether there is a need to have notices and guidance available</w:t>
      </w:r>
      <w:r w:rsidRPr="00ED71BF">
        <w:rPr>
          <w:spacing w:val="-27"/>
          <w:sz w:val="24"/>
          <w:szCs w:val="24"/>
        </w:rPr>
        <w:t xml:space="preserve"> </w:t>
      </w:r>
      <w:r w:rsidRPr="00ED71BF">
        <w:rPr>
          <w:sz w:val="24"/>
          <w:szCs w:val="24"/>
        </w:rPr>
        <w:t>in different formats or</w:t>
      </w:r>
      <w:r w:rsidRPr="00ED71BF">
        <w:rPr>
          <w:spacing w:val="-3"/>
          <w:sz w:val="24"/>
          <w:szCs w:val="24"/>
        </w:rPr>
        <w:t xml:space="preserve"> </w:t>
      </w:r>
      <w:r w:rsidRPr="00ED71BF">
        <w:rPr>
          <w:sz w:val="24"/>
          <w:szCs w:val="24"/>
        </w:rPr>
        <w:t>languages.</w:t>
      </w:r>
    </w:p>
    <w:p w14:paraId="0779A943" w14:textId="77777777" w:rsidR="001607C9" w:rsidRPr="00ED71BF" w:rsidRDefault="008F5D23" w:rsidP="00150148">
      <w:pPr>
        <w:pStyle w:val="ListParagraph"/>
        <w:numPr>
          <w:ilvl w:val="0"/>
          <w:numId w:val="8"/>
        </w:numPr>
        <w:tabs>
          <w:tab w:val="left" w:pos="1240"/>
          <w:tab w:val="left" w:pos="1241"/>
        </w:tabs>
        <w:spacing w:after="100" w:afterAutospacing="1"/>
        <w:ind w:left="900" w:right="833" w:hanging="450"/>
        <w:jc w:val="both"/>
        <w:rPr>
          <w:sz w:val="24"/>
          <w:szCs w:val="24"/>
        </w:rPr>
      </w:pPr>
      <w:r w:rsidRPr="00ED71BF">
        <w:rPr>
          <w:sz w:val="24"/>
          <w:szCs w:val="24"/>
        </w:rPr>
        <w:t xml:space="preserve">Whether the premises </w:t>
      </w:r>
      <w:proofErr w:type="gramStart"/>
      <w:r w:rsidRPr="00ED71BF">
        <w:rPr>
          <w:sz w:val="24"/>
          <w:szCs w:val="24"/>
        </w:rPr>
        <w:t>is</w:t>
      </w:r>
      <w:proofErr w:type="gramEnd"/>
      <w:r w:rsidRPr="00ED71BF">
        <w:rPr>
          <w:sz w:val="24"/>
          <w:szCs w:val="24"/>
        </w:rPr>
        <w:t xml:space="preserve"> in an area subject to high levels of crime and disorder and/or anti-social</w:t>
      </w:r>
      <w:r w:rsidRPr="00ED71BF">
        <w:rPr>
          <w:spacing w:val="-1"/>
          <w:sz w:val="24"/>
          <w:szCs w:val="24"/>
        </w:rPr>
        <w:t xml:space="preserve"> </w:t>
      </w:r>
      <w:r w:rsidRPr="00ED71BF">
        <w:rPr>
          <w:sz w:val="24"/>
          <w:szCs w:val="24"/>
        </w:rPr>
        <w:t>behaviour.</w:t>
      </w:r>
    </w:p>
    <w:p w14:paraId="615F1687" w14:textId="77777777" w:rsidR="001607C9" w:rsidRPr="00ED71BF" w:rsidRDefault="008F5D23" w:rsidP="00150148">
      <w:pPr>
        <w:pStyle w:val="ListParagraph"/>
        <w:numPr>
          <w:ilvl w:val="0"/>
          <w:numId w:val="8"/>
        </w:numPr>
        <w:tabs>
          <w:tab w:val="left" w:pos="1240"/>
          <w:tab w:val="left" w:pos="1241"/>
        </w:tabs>
        <w:spacing w:after="100" w:afterAutospacing="1"/>
        <w:ind w:left="900" w:hanging="450"/>
        <w:jc w:val="both"/>
        <w:rPr>
          <w:sz w:val="24"/>
          <w:szCs w:val="24"/>
        </w:rPr>
      </w:pPr>
      <w:r w:rsidRPr="00ED71BF">
        <w:rPr>
          <w:sz w:val="24"/>
          <w:szCs w:val="24"/>
        </w:rPr>
        <w:t>Whether there are any other gambling premises in the</w:t>
      </w:r>
      <w:r w:rsidRPr="00ED71BF">
        <w:rPr>
          <w:spacing w:val="-2"/>
          <w:sz w:val="24"/>
          <w:szCs w:val="24"/>
        </w:rPr>
        <w:t xml:space="preserve"> </w:t>
      </w:r>
      <w:r w:rsidRPr="00ED71BF">
        <w:rPr>
          <w:sz w:val="24"/>
          <w:szCs w:val="24"/>
        </w:rPr>
        <w:t>area.</w:t>
      </w:r>
    </w:p>
    <w:p w14:paraId="17F012CF" w14:textId="77777777" w:rsidR="001607C9" w:rsidRPr="00ED71BF" w:rsidRDefault="008F5D23" w:rsidP="00150148">
      <w:pPr>
        <w:pStyle w:val="ListParagraph"/>
        <w:numPr>
          <w:ilvl w:val="0"/>
          <w:numId w:val="8"/>
        </w:numPr>
        <w:tabs>
          <w:tab w:val="left" w:pos="1240"/>
          <w:tab w:val="left" w:pos="1241"/>
        </w:tabs>
        <w:spacing w:after="100" w:afterAutospacing="1"/>
        <w:ind w:left="900" w:hanging="450"/>
        <w:jc w:val="both"/>
        <w:rPr>
          <w:sz w:val="24"/>
          <w:szCs w:val="24"/>
        </w:rPr>
      </w:pPr>
      <w:r w:rsidRPr="00ED71BF">
        <w:rPr>
          <w:sz w:val="24"/>
          <w:szCs w:val="24"/>
        </w:rPr>
        <w:t>Whether there are any alcohol licensed premises in the</w:t>
      </w:r>
      <w:r w:rsidRPr="00ED71BF">
        <w:rPr>
          <w:spacing w:val="-7"/>
          <w:sz w:val="24"/>
          <w:szCs w:val="24"/>
        </w:rPr>
        <w:t xml:space="preserve"> </w:t>
      </w:r>
      <w:r w:rsidRPr="00ED71BF">
        <w:rPr>
          <w:sz w:val="24"/>
          <w:szCs w:val="24"/>
        </w:rPr>
        <w:t>area.</w:t>
      </w:r>
    </w:p>
    <w:p w14:paraId="700E59E6" w14:textId="77777777" w:rsidR="001607C9" w:rsidRPr="00ED71BF" w:rsidRDefault="008F5D23" w:rsidP="00150148">
      <w:pPr>
        <w:pStyle w:val="ListParagraph"/>
        <w:numPr>
          <w:ilvl w:val="0"/>
          <w:numId w:val="8"/>
        </w:numPr>
        <w:tabs>
          <w:tab w:val="left" w:pos="1240"/>
          <w:tab w:val="left" w:pos="1241"/>
        </w:tabs>
        <w:spacing w:after="100" w:afterAutospacing="1"/>
        <w:ind w:left="900" w:hanging="450"/>
        <w:jc w:val="both"/>
        <w:rPr>
          <w:sz w:val="24"/>
          <w:szCs w:val="24"/>
        </w:rPr>
      </w:pPr>
      <w:r w:rsidRPr="00ED71BF">
        <w:rPr>
          <w:sz w:val="24"/>
          <w:szCs w:val="24"/>
        </w:rPr>
        <w:t>Any relevant safeguarding</w:t>
      </w:r>
      <w:r w:rsidRPr="00ED71BF">
        <w:rPr>
          <w:spacing w:val="-7"/>
          <w:sz w:val="24"/>
          <w:szCs w:val="24"/>
        </w:rPr>
        <w:t xml:space="preserve"> </w:t>
      </w:r>
      <w:r w:rsidRPr="00ED71BF">
        <w:rPr>
          <w:sz w:val="24"/>
          <w:szCs w:val="24"/>
        </w:rPr>
        <w:t>factors.</w:t>
      </w:r>
    </w:p>
    <w:p w14:paraId="719BD06D" w14:textId="63D81C70" w:rsidR="001607C9" w:rsidRDefault="008F5D23" w:rsidP="00150148">
      <w:pPr>
        <w:pStyle w:val="ListParagraph"/>
        <w:numPr>
          <w:ilvl w:val="0"/>
          <w:numId w:val="8"/>
        </w:numPr>
        <w:tabs>
          <w:tab w:val="left" w:pos="1240"/>
          <w:tab w:val="left" w:pos="1241"/>
        </w:tabs>
        <w:spacing w:before="1" w:after="100" w:afterAutospacing="1"/>
        <w:ind w:left="900" w:right="1105" w:hanging="450"/>
        <w:jc w:val="both"/>
        <w:rPr>
          <w:sz w:val="24"/>
          <w:szCs w:val="24"/>
        </w:rPr>
      </w:pPr>
      <w:r w:rsidRPr="00ED71BF">
        <w:rPr>
          <w:sz w:val="24"/>
          <w:szCs w:val="24"/>
        </w:rPr>
        <w:t>Local Risk Assessments should show how vulnerable people including people</w:t>
      </w:r>
      <w:r w:rsidRPr="00ED71BF">
        <w:rPr>
          <w:spacing w:val="-20"/>
          <w:sz w:val="24"/>
          <w:szCs w:val="24"/>
        </w:rPr>
        <w:t xml:space="preserve"> </w:t>
      </w:r>
      <w:r w:rsidRPr="00ED71BF">
        <w:rPr>
          <w:sz w:val="24"/>
          <w:szCs w:val="24"/>
        </w:rPr>
        <w:t>with gambling dependencies are</w:t>
      </w:r>
      <w:r w:rsidRPr="00ED71BF">
        <w:rPr>
          <w:spacing w:val="-1"/>
          <w:sz w:val="24"/>
          <w:szCs w:val="24"/>
        </w:rPr>
        <w:t xml:space="preserve"> </w:t>
      </w:r>
      <w:r w:rsidRPr="00ED71BF">
        <w:rPr>
          <w:sz w:val="24"/>
          <w:szCs w:val="24"/>
        </w:rPr>
        <w:t>protected</w:t>
      </w:r>
    </w:p>
    <w:p w14:paraId="0197D9D1" w14:textId="64F1D2AD" w:rsidR="001607C9" w:rsidRPr="00F13BCC" w:rsidRDefault="008F5D23" w:rsidP="00F13BCC">
      <w:pPr>
        <w:tabs>
          <w:tab w:val="left" w:pos="1240"/>
          <w:tab w:val="left" w:pos="1241"/>
        </w:tabs>
        <w:spacing w:after="100" w:afterAutospacing="1"/>
        <w:ind w:right="472"/>
        <w:jc w:val="both"/>
        <w:rPr>
          <w:sz w:val="24"/>
          <w:szCs w:val="24"/>
        </w:rPr>
      </w:pPr>
      <w:r w:rsidRPr="00F13BCC">
        <w:rPr>
          <w:sz w:val="24"/>
          <w:szCs w:val="24"/>
        </w:rPr>
        <w:t xml:space="preserve">This list is not </w:t>
      </w:r>
      <w:r w:rsidR="008C0BE9" w:rsidRPr="00F13BCC">
        <w:rPr>
          <w:sz w:val="24"/>
          <w:szCs w:val="24"/>
        </w:rPr>
        <w:t>exhaustive,</w:t>
      </w:r>
      <w:r w:rsidRPr="00F13BCC">
        <w:rPr>
          <w:sz w:val="24"/>
          <w:szCs w:val="24"/>
        </w:rPr>
        <w:t xml:space="preserve"> and operators should include any relevant local risks which they believe may impact on the licensing</w:t>
      </w:r>
      <w:r w:rsidRPr="00F13BCC">
        <w:rPr>
          <w:spacing w:val="-8"/>
          <w:sz w:val="24"/>
          <w:szCs w:val="24"/>
        </w:rPr>
        <w:t xml:space="preserve"> </w:t>
      </w:r>
      <w:r w:rsidRPr="00F13BCC">
        <w:rPr>
          <w:sz w:val="24"/>
          <w:szCs w:val="24"/>
        </w:rPr>
        <w:t>objectives.</w:t>
      </w:r>
    </w:p>
    <w:p w14:paraId="398BCFEA" w14:textId="77777777" w:rsidR="001607C9" w:rsidRPr="00EB497B" w:rsidRDefault="001607C9" w:rsidP="00EB497B">
      <w:pPr>
        <w:pStyle w:val="BodyText"/>
        <w:spacing w:before="9"/>
        <w:jc w:val="both"/>
        <w:rPr>
          <w:sz w:val="24"/>
          <w:szCs w:val="24"/>
        </w:rPr>
      </w:pPr>
    </w:p>
    <w:p w14:paraId="43B40532" w14:textId="72D6EC06" w:rsidR="001607C9" w:rsidRDefault="008F5D23" w:rsidP="00150148">
      <w:pPr>
        <w:pStyle w:val="Heading1"/>
        <w:numPr>
          <w:ilvl w:val="0"/>
          <w:numId w:val="8"/>
        </w:numPr>
        <w:tabs>
          <w:tab w:val="left" w:pos="880"/>
          <w:tab w:val="left" w:pos="881"/>
        </w:tabs>
        <w:spacing w:before="1"/>
        <w:ind w:hanging="1240"/>
        <w:jc w:val="both"/>
        <w:rPr>
          <w:sz w:val="24"/>
          <w:szCs w:val="24"/>
        </w:rPr>
      </w:pPr>
      <w:r w:rsidRPr="00EB497B">
        <w:rPr>
          <w:sz w:val="24"/>
          <w:szCs w:val="24"/>
        </w:rPr>
        <w:t>Operational</w:t>
      </w:r>
      <w:r w:rsidRPr="00EB497B">
        <w:rPr>
          <w:spacing w:val="-1"/>
          <w:sz w:val="24"/>
          <w:szCs w:val="24"/>
        </w:rPr>
        <w:t xml:space="preserve"> </w:t>
      </w:r>
      <w:r w:rsidRPr="00EB497B">
        <w:rPr>
          <w:sz w:val="24"/>
          <w:szCs w:val="24"/>
        </w:rPr>
        <w:t>Risks</w:t>
      </w:r>
    </w:p>
    <w:p w14:paraId="411612DD" w14:textId="77777777" w:rsidR="00150148" w:rsidRPr="00EB497B" w:rsidRDefault="00150148" w:rsidP="00150148">
      <w:pPr>
        <w:pStyle w:val="Heading1"/>
        <w:tabs>
          <w:tab w:val="left" w:pos="880"/>
          <w:tab w:val="left" w:pos="881"/>
        </w:tabs>
        <w:spacing w:before="1"/>
        <w:ind w:left="880"/>
        <w:jc w:val="both"/>
        <w:rPr>
          <w:sz w:val="24"/>
          <w:szCs w:val="24"/>
        </w:rPr>
      </w:pPr>
    </w:p>
    <w:p w14:paraId="6C383584" w14:textId="77777777" w:rsidR="001607C9" w:rsidRPr="00EB497B" w:rsidRDefault="008F5D23" w:rsidP="00150148">
      <w:pPr>
        <w:pStyle w:val="BodyText"/>
        <w:spacing w:before="1"/>
        <w:ind w:right="665"/>
        <w:jc w:val="both"/>
        <w:rPr>
          <w:sz w:val="24"/>
          <w:szCs w:val="24"/>
        </w:rPr>
      </w:pPr>
      <w:r w:rsidRPr="00EB497B">
        <w:rPr>
          <w:sz w:val="24"/>
          <w:szCs w:val="24"/>
        </w:rPr>
        <w:t xml:space="preserve">In assessing the risk factors associated with a gambling operation the assessor should </w:t>
      </w:r>
      <w:proofErr w:type="gramStart"/>
      <w:r w:rsidRPr="00EB497B">
        <w:rPr>
          <w:sz w:val="24"/>
          <w:szCs w:val="24"/>
        </w:rPr>
        <w:t>take into account</w:t>
      </w:r>
      <w:proofErr w:type="gramEnd"/>
      <w:r w:rsidRPr="00EB497B">
        <w:rPr>
          <w:sz w:val="24"/>
          <w:szCs w:val="24"/>
        </w:rPr>
        <w:t xml:space="preserve"> the local risks which are commonly accepted by broader stakeholders and how that gambling operation may affect that risk.</w:t>
      </w:r>
    </w:p>
    <w:p w14:paraId="4369E770" w14:textId="77777777" w:rsidR="001607C9" w:rsidRPr="00EB497B" w:rsidRDefault="001607C9" w:rsidP="00EB497B">
      <w:pPr>
        <w:pStyle w:val="BodyText"/>
        <w:spacing w:before="10"/>
        <w:jc w:val="both"/>
        <w:rPr>
          <w:sz w:val="24"/>
          <w:szCs w:val="24"/>
        </w:rPr>
      </w:pPr>
    </w:p>
    <w:p w14:paraId="50E08F79" w14:textId="77777777" w:rsidR="001607C9" w:rsidRPr="00EB497B" w:rsidRDefault="008F5D23" w:rsidP="00150148">
      <w:pPr>
        <w:pStyle w:val="BodyText"/>
        <w:spacing w:before="1"/>
        <w:ind w:right="611"/>
        <w:jc w:val="both"/>
        <w:rPr>
          <w:sz w:val="24"/>
          <w:szCs w:val="24"/>
        </w:rPr>
      </w:pPr>
      <w:r w:rsidRPr="00EB497B">
        <w:rPr>
          <w:sz w:val="24"/>
          <w:szCs w:val="24"/>
        </w:rPr>
        <w:t xml:space="preserve">They should also consider the operational policies and procedures the business already has in place, the Act, and the </w:t>
      </w:r>
      <w:proofErr w:type="spellStart"/>
      <w:r w:rsidRPr="00EB497B">
        <w:rPr>
          <w:sz w:val="24"/>
          <w:szCs w:val="24"/>
        </w:rPr>
        <w:t>LCCP</w:t>
      </w:r>
      <w:proofErr w:type="spellEnd"/>
      <w:r w:rsidRPr="00EB497B">
        <w:rPr>
          <w:sz w:val="24"/>
          <w:szCs w:val="24"/>
        </w:rPr>
        <w:t>.</w:t>
      </w:r>
    </w:p>
    <w:p w14:paraId="51ED025A" w14:textId="77777777" w:rsidR="001607C9" w:rsidRPr="00EB497B" w:rsidRDefault="001607C9" w:rsidP="00EB497B">
      <w:pPr>
        <w:pStyle w:val="BodyText"/>
        <w:spacing w:before="1"/>
        <w:jc w:val="both"/>
        <w:rPr>
          <w:sz w:val="24"/>
          <w:szCs w:val="24"/>
        </w:rPr>
      </w:pPr>
    </w:p>
    <w:p w14:paraId="0C801808" w14:textId="77777777" w:rsidR="001607C9" w:rsidRPr="00EB497B" w:rsidRDefault="008F5D23" w:rsidP="00150148">
      <w:pPr>
        <w:pStyle w:val="BodyText"/>
        <w:ind w:right="418"/>
        <w:jc w:val="both"/>
        <w:rPr>
          <w:sz w:val="24"/>
          <w:szCs w:val="24"/>
        </w:rPr>
      </w:pPr>
      <w:r w:rsidRPr="00EB497B">
        <w:rPr>
          <w:sz w:val="24"/>
          <w:szCs w:val="24"/>
        </w:rPr>
        <w:t>It is likely that the identification of risks associated with this element of the assessment will be broadly similar across premises run by the same operator, with appropriate local factors considered. The types of measures put in place will depend on the size of the organisation, type of gambling provided, and operational policies of the organisation.</w:t>
      </w:r>
    </w:p>
    <w:p w14:paraId="29269C83" w14:textId="2A8B8CC0" w:rsidR="001607C9" w:rsidRDefault="001607C9" w:rsidP="00EB497B">
      <w:pPr>
        <w:pStyle w:val="BodyText"/>
        <w:spacing w:before="9"/>
        <w:jc w:val="both"/>
        <w:rPr>
          <w:sz w:val="24"/>
          <w:szCs w:val="24"/>
        </w:rPr>
      </w:pPr>
    </w:p>
    <w:p w14:paraId="46A37033" w14:textId="7A54BFC6" w:rsidR="00E87347" w:rsidRDefault="00E87347" w:rsidP="00EB497B">
      <w:pPr>
        <w:pStyle w:val="BodyText"/>
        <w:spacing w:before="9"/>
        <w:jc w:val="both"/>
        <w:rPr>
          <w:sz w:val="24"/>
          <w:szCs w:val="24"/>
        </w:rPr>
      </w:pPr>
    </w:p>
    <w:p w14:paraId="204E155A" w14:textId="77777777" w:rsidR="00C657F1" w:rsidRDefault="00C657F1" w:rsidP="00EB497B">
      <w:pPr>
        <w:pStyle w:val="BodyText"/>
        <w:spacing w:before="9"/>
        <w:jc w:val="both"/>
        <w:rPr>
          <w:sz w:val="24"/>
          <w:szCs w:val="24"/>
        </w:rPr>
      </w:pPr>
    </w:p>
    <w:p w14:paraId="2D49320E" w14:textId="77777777" w:rsidR="00E87347" w:rsidRPr="00EB497B" w:rsidRDefault="00E87347" w:rsidP="00EB497B">
      <w:pPr>
        <w:pStyle w:val="BodyText"/>
        <w:spacing w:before="9"/>
        <w:jc w:val="both"/>
        <w:rPr>
          <w:sz w:val="24"/>
          <w:szCs w:val="24"/>
        </w:rPr>
      </w:pPr>
    </w:p>
    <w:p w14:paraId="494F0A82" w14:textId="4AFECB39" w:rsidR="001607C9" w:rsidRDefault="008F5D23" w:rsidP="00D3670F">
      <w:pPr>
        <w:pStyle w:val="Heading1"/>
        <w:numPr>
          <w:ilvl w:val="0"/>
          <w:numId w:val="11"/>
        </w:numPr>
        <w:tabs>
          <w:tab w:val="left" w:pos="880"/>
          <w:tab w:val="left" w:pos="881"/>
        </w:tabs>
        <w:spacing w:before="1" w:line="244" w:lineRule="exact"/>
        <w:jc w:val="both"/>
        <w:rPr>
          <w:sz w:val="24"/>
          <w:szCs w:val="24"/>
        </w:rPr>
      </w:pPr>
      <w:r w:rsidRPr="00EB497B">
        <w:rPr>
          <w:sz w:val="24"/>
          <w:szCs w:val="24"/>
        </w:rPr>
        <w:t>Premises Design</w:t>
      </w:r>
      <w:r w:rsidRPr="00EB497B">
        <w:rPr>
          <w:spacing w:val="-2"/>
          <w:sz w:val="24"/>
          <w:szCs w:val="24"/>
        </w:rPr>
        <w:t xml:space="preserve"> </w:t>
      </w:r>
    </w:p>
    <w:p w14:paraId="1E0BA889" w14:textId="77777777" w:rsidR="00D3670F" w:rsidRPr="00EB497B" w:rsidRDefault="00D3670F" w:rsidP="00D3670F">
      <w:pPr>
        <w:pStyle w:val="Heading1"/>
        <w:tabs>
          <w:tab w:val="left" w:pos="880"/>
          <w:tab w:val="left" w:pos="881"/>
        </w:tabs>
        <w:spacing w:before="1" w:line="244" w:lineRule="exact"/>
        <w:ind w:left="880"/>
        <w:jc w:val="both"/>
        <w:rPr>
          <w:sz w:val="24"/>
          <w:szCs w:val="24"/>
        </w:rPr>
      </w:pPr>
    </w:p>
    <w:p w14:paraId="7852EA8D" w14:textId="77777777" w:rsidR="001607C9" w:rsidRPr="00EB497B" w:rsidRDefault="008F5D23" w:rsidP="00D3670F">
      <w:pPr>
        <w:pStyle w:val="BodyText"/>
        <w:ind w:right="418"/>
        <w:jc w:val="both"/>
        <w:rPr>
          <w:sz w:val="24"/>
          <w:szCs w:val="24"/>
        </w:rPr>
      </w:pPr>
      <w:r w:rsidRPr="00EB497B">
        <w:rPr>
          <w:sz w:val="24"/>
          <w:szCs w:val="24"/>
        </w:rPr>
        <w:t>The physical design of the premises is a key consideration as this could have a significant impact on the risk to the licensing objectives. In assessing the risk factors associated with the premises design and layout reference is needed to the local area risks factors already identified to ensure the design doesn’t add to that risk. The design, both internal and external should be considered and specific risk factors identified and noted.</w:t>
      </w:r>
    </w:p>
    <w:p w14:paraId="1FFD0E73" w14:textId="77777777" w:rsidR="001607C9" w:rsidRPr="00EB497B" w:rsidRDefault="001607C9" w:rsidP="00EB497B">
      <w:pPr>
        <w:pStyle w:val="BodyText"/>
        <w:jc w:val="both"/>
        <w:rPr>
          <w:sz w:val="24"/>
          <w:szCs w:val="24"/>
        </w:rPr>
      </w:pPr>
    </w:p>
    <w:p w14:paraId="4A20028E" w14:textId="2A0208A4" w:rsidR="001607C9" w:rsidRDefault="008F5D23" w:rsidP="00D3670F">
      <w:pPr>
        <w:pStyle w:val="BodyText"/>
        <w:ind w:right="512"/>
        <w:jc w:val="both"/>
        <w:rPr>
          <w:sz w:val="24"/>
          <w:szCs w:val="24"/>
        </w:rPr>
      </w:pPr>
      <w:r w:rsidRPr="00EB497B">
        <w:rPr>
          <w:sz w:val="24"/>
          <w:szCs w:val="24"/>
        </w:rPr>
        <w:t>The internal design and layout will reflect the premises operation and the type of gambling facilities that it offers. Operators should assess the risk presented by the internal layout of the premises and the location of gambling facilities within them. Simple adjustments or changes to l</w:t>
      </w:r>
      <w:r w:rsidR="00D411DB">
        <w:rPr>
          <w:sz w:val="24"/>
          <w:szCs w:val="24"/>
        </w:rPr>
        <w:t>ay</w:t>
      </w:r>
      <w:r w:rsidRPr="00EB497B">
        <w:rPr>
          <w:sz w:val="24"/>
          <w:szCs w:val="24"/>
        </w:rPr>
        <w:t>out early in the process can significantly reduce the risk to the licensing objectives.</w:t>
      </w:r>
    </w:p>
    <w:p w14:paraId="2B1243E3" w14:textId="76C319CD" w:rsidR="00E17C3D" w:rsidRDefault="00E17C3D" w:rsidP="00D3670F">
      <w:pPr>
        <w:pStyle w:val="BodyText"/>
        <w:ind w:right="512"/>
        <w:jc w:val="both"/>
        <w:rPr>
          <w:sz w:val="24"/>
          <w:szCs w:val="24"/>
        </w:rPr>
      </w:pPr>
    </w:p>
    <w:p w14:paraId="2E96DED9" w14:textId="77777777" w:rsidR="00E17C3D" w:rsidRPr="00EB497B" w:rsidRDefault="00E17C3D" w:rsidP="00E17C3D">
      <w:pPr>
        <w:pStyle w:val="BodyText"/>
        <w:spacing w:before="69"/>
        <w:ind w:right="587"/>
        <w:jc w:val="both"/>
        <w:rPr>
          <w:sz w:val="24"/>
          <w:szCs w:val="24"/>
        </w:rPr>
      </w:pPr>
      <w:r w:rsidRPr="00EB497B">
        <w:rPr>
          <w:sz w:val="24"/>
          <w:szCs w:val="24"/>
        </w:rPr>
        <w:t>The exterior of the premises is equally significant and should be carefully considered when assessing premises. Issues such as large glass frontages in areas of high vandalism may feature in the risk assessment and impact the design of the exterior of the premises.</w:t>
      </w:r>
    </w:p>
    <w:p w14:paraId="35C1D279" w14:textId="67B42F51" w:rsidR="00E17C3D" w:rsidRDefault="00E17C3D" w:rsidP="00D3670F">
      <w:pPr>
        <w:pStyle w:val="BodyText"/>
        <w:ind w:right="512"/>
        <w:jc w:val="both"/>
        <w:rPr>
          <w:sz w:val="24"/>
          <w:szCs w:val="24"/>
        </w:rPr>
      </w:pPr>
    </w:p>
    <w:p w14:paraId="3D7DD2AA" w14:textId="7CE1B74C" w:rsidR="001607C9" w:rsidRPr="007C326C" w:rsidRDefault="00124302" w:rsidP="007C326C">
      <w:pPr>
        <w:pStyle w:val="ListParagraph"/>
        <w:numPr>
          <w:ilvl w:val="0"/>
          <w:numId w:val="12"/>
        </w:numPr>
        <w:rPr>
          <w:b/>
          <w:color w:val="365F91" w:themeColor="accent1" w:themeShade="BF"/>
          <w:sz w:val="24"/>
          <w:szCs w:val="24"/>
        </w:rPr>
      </w:pPr>
      <w:r w:rsidRPr="007C326C">
        <w:rPr>
          <w:b/>
          <w:color w:val="365F91" w:themeColor="accent1" w:themeShade="BF"/>
          <w:sz w:val="24"/>
          <w:szCs w:val="24"/>
        </w:rPr>
        <w:t xml:space="preserve">Aberdeen </w:t>
      </w:r>
      <w:r w:rsidR="00E17C3D" w:rsidRPr="007C326C">
        <w:rPr>
          <w:b/>
          <w:color w:val="365F91" w:themeColor="accent1" w:themeShade="BF"/>
          <w:sz w:val="24"/>
          <w:szCs w:val="24"/>
        </w:rPr>
        <w:t>P</w:t>
      </w:r>
      <w:r w:rsidR="008F5D23" w:rsidRPr="007C326C">
        <w:rPr>
          <w:b/>
          <w:color w:val="365F91" w:themeColor="accent1" w:themeShade="BF"/>
          <w:sz w:val="24"/>
          <w:szCs w:val="24"/>
        </w:rPr>
        <w:t>rofile Geographical facts</w:t>
      </w:r>
    </w:p>
    <w:p w14:paraId="15062512" w14:textId="27C8ED58" w:rsidR="007C326C" w:rsidRDefault="007C326C" w:rsidP="007C326C"/>
    <w:p w14:paraId="579B5FAF" w14:textId="076CC0D7" w:rsidR="00B1340D" w:rsidRDefault="00B1340D" w:rsidP="00B1340D">
      <w:pPr>
        <w:tabs>
          <w:tab w:val="left" w:pos="880"/>
          <w:tab w:val="left" w:pos="881"/>
        </w:tabs>
        <w:spacing w:line="243" w:lineRule="exact"/>
        <w:jc w:val="both"/>
        <w:rPr>
          <w:sz w:val="24"/>
          <w:szCs w:val="24"/>
        </w:rPr>
      </w:pPr>
    </w:p>
    <w:p w14:paraId="00807D6F" w14:textId="77777777" w:rsidR="0069017B" w:rsidRPr="0069017B" w:rsidRDefault="00EE287A" w:rsidP="0069017B">
      <w:pPr>
        <w:pStyle w:val="ListParagraph"/>
        <w:numPr>
          <w:ilvl w:val="0"/>
          <w:numId w:val="11"/>
        </w:numPr>
        <w:tabs>
          <w:tab w:val="left" w:pos="880"/>
          <w:tab w:val="left" w:pos="881"/>
        </w:tabs>
        <w:spacing w:line="243" w:lineRule="exact"/>
        <w:jc w:val="both"/>
        <w:rPr>
          <w:sz w:val="24"/>
          <w:szCs w:val="24"/>
        </w:rPr>
      </w:pPr>
      <w:r w:rsidRPr="0069017B">
        <w:rPr>
          <w:b/>
          <w:color w:val="365F91" w:themeColor="accent1" w:themeShade="BF"/>
        </w:rPr>
        <w:t>Economy</w:t>
      </w:r>
      <w:r>
        <w:t xml:space="preserve"> </w:t>
      </w:r>
    </w:p>
    <w:p w14:paraId="5490E527" w14:textId="77777777" w:rsidR="0069017B" w:rsidRPr="0069017B" w:rsidRDefault="0069017B" w:rsidP="0069017B">
      <w:pPr>
        <w:pStyle w:val="ListParagraph"/>
        <w:tabs>
          <w:tab w:val="left" w:pos="880"/>
          <w:tab w:val="left" w:pos="881"/>
        </w:tabs>
        <w:spacing w:line="243" w:lineRule="exact"/>
        <w:ind w:firstLine="0"/>
        <w:jc w:val="both"/>
        <w:rPr>
          <w:sz w:val="24"/>
          <w:szCs w:val="24"/>
        </w:rPr>
      </w:pPr>
    </w:p>
    <w:p w14:paraId="1697337E" w14:textId="2598E8D2" w:rsidR="002D36FC" w:rsidRDefault="7590F04D" w:rsidP="7590F04D">
      <w:pPr>
        <w:tabs>
          <w:tab w:val="left" w:pos="880"/>
          <w:tab w:val="left" w:pos="881"/>
        </w:tabs>
        <w:jc w:val="both"/>
        <w:rPr>
          <w:sz w:val="24"/>
          <w:szCs w:val="24"/>
        </w:rPr>
      </w:pPr>
      <w:r w:rsidRPr="7590F04D">
        <w:rPr>
          <w:sz w:val="24"/>
          <w:szCs w:val="24"/>
        </w:rPr>
        <w:t xml:space="preserve">Aberdeen is one of the most competitive, innovative and economically productive cities in the UK. Much of the success of Aberdeen has been built on the traditional oil and gas sector; it also has a successful small business economy. Since the end of 2014, the local economy has suffered as a result of the global oil price decline. Business growth is slowing. </w:t>
      </w:r>
      <w:r w:rsidR="00983BB1">
        <w:rPr>
          <w:sz w:val="24"/>
          <w:szCs w:val="24"/>
        </w:rPr>
        <w:t>Workplace-based median gross hourly pay for full-time employees in Aberdeen</w:t>
      </w:r>
      <w:r w:rsidR="00C709F5">
        <w:rPr>
          <w:sz w:val="24"/>
          <w:szCs w:val="24"/>
        </w:rPr>
        <w:t xml:space="preserve"> was £15.33 (2</w:t>
      </w:r>
      <w:r w:rsidR="00C709F5" w:rsidRPr="00C709F5">
        <w:rPr>
          <w:sz w:val="24"/>
          <w:szCs w:val="24"/>
          <w:vertAlign w:val="superscript"/>
        </w:rPr>
        <w:t>nd</w:t>
      </w:r>
      <w:r w:rsidR="00C709F5">
        <w:rPr>
          <w:sz w:val="24"/>
          <w:szCs w:val="24"/>
        </w:rPr>
        <w:t xml:space="preserve"> highest local authority area in Scotland)</w:t>
      </w:r>
      <w:r w:rsidR="00BE2849">
        <w:rPr>
          <w:sz w:val="24"/>
          <w:szCs w:val="24"/>
        </w:rPr>
        <w:t>, compared to the Scottish average of £13.98</w:t>
      </w:r>
      <w:r w:rsidRPr="7590F04D">
        <w:rPr>
          <w:sz w:val="24"/>
          <w:szCs w:val="24"/>
        </w:rPr>
        <w:t xml:space="preserve">, and </w:t>
      </w:r>
      <w:r w:rsidR="00F80D25">
        <w:rPr>
          <w:sz w:val="24"/>
          <w:szCs w:val="24"/>
        </w:rPr>
        <w:t>U</w:t>
      </w:r>
      <w:r w:rsidRPr="7590F04D">
        <w:rPr>
          <w:sz w:val="24"/>
          <w:szCs w:val="24"/>
        </w:rPr>
        <w:t xml:space="preserve">nemployment levels </w:t>
      </w:r>
      <w:r w:rsidR="00A97BB5">
        <w:rPr>
          <w:sz w:val="24"/>
          <w:szCs w:val="24"/>
        </w:rPr>
        <w:t>between</w:t>
      </w:r>
      <w:r w:rsidR="004035C4">
        <w:rPr>
          <w:sz w:val="24"/>
          <w:szCs w:val="24"/>
        </w:rPr>
        <w:t xml:space="preserve"> </w:t>
      </w:r>
      <w:r w:rsidR="00A97BB5">
        <w:rPr>
          <w:sz w:val="24"/>
          <w:szCs w:val="24"/>
        </w:rPr>
        <w:t xml:space="preserve">July 2017 and June </w:t>
      </w:r>
      <w:r w:rsidR="00F80D25">
        <w:rPr>
          <w:sz w:val="24"/>
          <w:szCs w:val="24"/>
        </w:rPr>
        <w:t>2018 were</w:t>
      </w:r>
      <w:r w:rsidR="00F379A0">
        <w:rPr>
          <w:sz w:val="24"/>
          <w:szCs w:val="24"/>
        </w:rPr>
        <w:t xml:space="preserve"> 4.3% compared to the Scottish national average of 4.1%.  </w:t>
      </w:r>
      <w:r w:rsidRPr="7590F04D">
        <w:rPr>
          <w:sz w:val="24"/>
          <w:szCs w:val="24"/>
        </w:rPr>
        <w:t xml:space="preserve"> Some of the most affluent areas of Scotland are within Aberdeen City, but equally within the City boundaries are some of Scotland’s most deprived areas. Overall, levels of deprivation remain low. In 2016, </w:t>
      </w:r>
      <w:r w:rsidR="002800A2">
        <w:rPr>
          <w:sz w:val="24"/>
          <w:szCs w:val="24"/>
        </w:rPr>
        <w:t>3</w:t>
      </w:r>
      <w:r w:rsidRPr="7590F04D">
        <w:rPr>
          <w:sz w:val="24"/>
          <w:szCs w:val="24"/>
        </w:rPr>
        <w:t xml:space="preserve"> of the 283 </w:t>
      </w:r>
      <w:proofErr w:type="spellStart"/>
      <w:r w:rsidRPr="7590F04D">
        <w:rPr>
          <w:sz w:val="24"/>
          <w:szCs w:val="24"/>
        </w:rPr>
        <w:t>datazones</w:t>
      </w:r>
      <w:proofErr w:type="spellEnd"/>
      <w:r w:rsidRPr="7590F04D">
        <w:rPr>
          <w:sz w:val="24"/>
          <w:szCs w:val="24"/>
        </w:rPr>
        <w:t xml:space="preserve"> within Aberdeen </w:t>
      </w:r>
      <w:proofErr w:type="gramStart"/>
      <w:r w:rsidRPr="7590F04D">
        <w:rPr>
          <w:sz w:val="24"/>
          <w:szCs w:val="24"/>
        </w:rPr>
        <w:t>were considered to be</w:t>
      </w:r>
      <w:proofErr w:type="gramEnd"/>
      <w:r w:rsidRPr="7590F04D">
        <w:rPr>
          <w:sz w:val="24"/>
          <w:szCs w:val="24"/>
        </w:rPr>
        <w:t xml:space="preserve"> within the 1</w:t>
      </w:r>
      <w:r w:rsidR="002800A2">
        <w:rPr>
          <w:sz w:val="24"/>
          <w:szCs w:val="24"/>
        </w:rPr>
        <w:t>0</w:t>
      </w:r>
      <w:r w:rsidRPr="7590F04D">
        <w:rPr>
          <w:sz w:val="24"/>
          <w:szCs w:val="24"/>
        </w:rPr>
        <w:t xml:space="preserve">% most deprived areas in Scotland. Despite low headline deprivation figures, </w:t>
      </w:r>
      <w:r w:rsidR="006C71F8">
        <w:rPr>
          <w:sz w:val="24"/>
          <w:szCs w:val="24"/>
        </w:rPr>
        <w:t xml:space="preserve">other measures suggest deprivation is a problem </w:t>
      </w:r>
      <w:r w:rsidRPr="7590F04D">
        <w:rPr>
          <w:sz w:val="24"/>
          <w:szCs w:val="24"/>
        </w:rPr>
        <w:t xml:space="preserve">almost, </w:t>
      </w:r>
      <w:r w:rsidR="00EC772D">
        <w:rPr>
          <w:sz w:val="24"/>
          <w:szCs w:val="24"/>
        </w:rPr>
        <w:t>between July and September 2017 there was an estimated 12,055 c</w:t>
      </w:r>
      <w:r w:rsidRPr="7590F04D">
        <w:rPr>
          <w:sz w:val="24"/>
          <w:szCs w:val="24"/>
        </w:rPr>
        <w:t>hildren in Aberdeen</w:t>
      </w:r>
      <w:r w:rsidR="00EC772D">
        <w:rPr>
          <w:sz w:val="24"/>
          <w:szCs w:val="24"/>
        </w:rPr>
        <w:t xml:space="preserve"> and Aberdeenshire </w:t>
      </w:r>
      <w:r w:rsidRPr="7590F04D">
        <w:rPr>
          <w:sz w:val="24"/>
          <w:szCs w:val="24"/>
        </w:rPr>
        <w:t xml:space="preserve">living in poverty. </w:t>
      </w:r>
      <w:r w:rsidR="00943AF7">
        <w:rPr>
          <w:sz w:val="24"/>
          <w:szCs w:val="24"/>
        </w:rPr>
        <w:t xml:space="preserve">  </w:t>
      </w:r>
      <w:r w:rsidR="004035C4">
        <w:rPr>
          <w:sz w:val="24"/>
          <w:szCs w:val="24"/>
        </w:rPr>
        <w:t xml:space="preserve">26.9% of </w:t>
      </w:r>
      <w:r w:rsidR="00943AF7">
        <w:rPr>
          <w:sz w:val="24"/>
          <w:szCs w:val="24"/>
        </w:rPr>
        <w:t>c</w:t>
      </w:r>
      <w:r w:rsidR="004035C4">
        <w:rPr>
          <w:sz w:val="24"/>
          <w:szCs w:val="24"/>
        </w:rPr>
        <w:t xml:space="preserve">hildren in Aberdeen were living in families will limited resources, compared to 5.3% of children in Aberdeenshire. </w:t>
      </w:r>
    </w:p>
    <w:p w14:paraId="10AF6D8E" w14:textId="77777777" w:rsidR="002D36FC" w:rsidRDefault="002D36FC" w:rsidP="00CF4CD4">
      <w:pPr>
        <w:tabs>
          <w:tab w:val="left" w:pos="880"/>
          <w:tab w:val="left" w:pos="881"/>
        </w:tabs>
        <w:jc w:val="both"/>
        <w:rPr>
          <w:sz w:val="24"/>
          <w:szCs w:val="24"/>
        </w:rPr>
      </w:pPr>
    </w:p>
    <w:p w14:paraId="7118A468" w14:textId="77777777" w:rsidR="002D36FC" w:rsidRDefault="002D36FC" w:rsidP="0069017B">
      <w:pPr>
        <w:tabs>
          <w:tab w:val="left" w:pos="880"/>
          <w:tab w:val="left" w:pos="881"/>
        </w:tabs>
        <w:spacing w:line="243" w:lineRule="exact"/>
        <w:jc w:val="both"/>
        <w:rPr>
          <w:sz w:val="24"/>
          <w:szCs w:val="24"/>
        </w:rPr>
      </w:pPr>
    </w:p>
    <w:p w14:paraId="6779A93F" w14:textId="77777777" w:rsidR="002D36FC" w:rsidRDefault="00EE287A" w:rsidP="002D36FC">
      <w:pPr>
        <w:pStyle w:val="ListParagraph"/>
        <w:numPr>
          <w:ilvl w:val="0"/>
          <w:numId w:val="11"/>
        </w:numPr>
        <w:tabs>
          <w:tab w:val="left" w:pos="880"/>
          <w:tab w:val="left" w:pos="881"/>
        </w:tabs>
        <w:spacing w:line="243" w:lineRule="exact"/>
        <w:jc w:val="both"/>
        <w:rPr>
          <w:sz w:val="24"/>
          <w:szCs w:val="24"/>
        </w:rPr>
      </w:pPr>
      <w:r w:rsidRPr="002D36FC">
        <w:rPr>
          <w:b/>
          <w:color w:val="365F91" w:themeColor="accent1" w:themeShade="BF"/>
          <w:sz w:val="24"/>
          <w:szCs w:val="24"/>
        </w:rPr>
        <w:t>People</w:t>
      </w:r>
      <w:r w:rsidRPr="002D36FC">
        <w:rPr>
          <w:sz w:val="24"/>
          <w:szCs w:val="24"/>
        </w:rPr>
        <w:t xml:space="preserve"> </w:t>
      </w:r>
    </w:p>
    <w:p w14:paraId="6E14445A" w14:textId="77777777" w:rsidR="002D36FC" w:rsidRPr="002D36FC" w:rsidRDefault="002D36FC" w:rsidP="002D36FC">
      <w:pPr>
        <w:tabs>
          <w:tab w:val="left" w:pos="880"/>
          <w:tab w:val="left" w:pos="881"/>
        </w:tabs>
        <w:spacing w:line="243" w:lineRule="exact"/>
        <w:ind w:left="520"/>
        <w:jc w:val="both"/>
        <w:rPr>
          <w:sz w:val="24"/>
          <w:szCs w:val="24"/>
        </w:rPr>
      </w:pPr>
    </w:p>
    <w:p w14:paraId="722EB0C0" w14:textId="1C8A4B74" w:rsidR="00EE287A" w:rsidRPr="002D36FC" w:rsidRDefault="00EE287A" w:rsidP="00CF4CD4">
      <w:pPr>
        <w:tabs>
          <w:tab w:val="left" w:pos="880"/>
          <w:tab w:val="left" w:pos="881"/>
        </w:tabs>
        <w:jc w:val="both"/>
        <w:rPr>
          <w:sz w:val="24"/>
          <w:szCs w:val="24"/>
        </w:rPr>
      </w:pPr>
      <w:r w:rsidRPr="002D36FC">
        <w:rPr>
          <w:sz w:val="24"/>
          <w:szCs w:val="24"/>
        </w:rPr>
        <w:t>The population of Aberdeen City has risen sharply over the past decade, and in 201</w:t>
      </w:r>
      <w:r w:rsidR="00B5572D">
        <w:rPr>
          <w:sz w:val="24"/>
          <w:szCs w:val="24"/>
        </w:rPr>
        <w:t>7</w:t>
      </w:r>
      <w:r w:rsidRPr="002D36FC">
        <w:rPr>
          <w:sz w:val="24"/>
          <w:szCs w:val="24"/>
        </w:rPr>
        <w:t xml:space="preserve"> was estimated at 228,</w:t>
      </w:r>
      <w:r w:rsidR="00B5572D">
        <w:rPr>
          <w:sz w:val="24"/>
          <w:szCs w:val="24"/>
        </w:rPr>
        <w:t>800</w:t>
      </w:r>
      <w:r w:rsidRPr="00601044">
        <w:rPr>
          <w:sz w:val="24"/>
          <w:szCs w:val="24"/>
        </w:rPr>
        <w:t>.</w:t>
      </w:r>
      <w:r w:rsidR="009A1919" w:rsidRPr="00601044">
        <w:rPr>
          <w:sz w:val="24"/>
          <w:szCs w:val="24"/>
        </w:rPr>
        <w:t xml:space="preserve"> </w:t>
      </w:r>
      <w:r w:rsidR="00601044">
        <w:rPr>
          <w:sz w:val="24"/>
          <w:szCs w:val="24"/>
        </w:rPr>
        <w:t xml:space="preserve"> </w:t>
      </w:r>
      <w:r w:rsidR="009A1919" w:rsidRPr="00601044">
        <w:rPr>
          <w:sz w:val="24"/>
          <w:szCs w:val="24"/>
        </w:rPr>
        <w:t>In 2017, 23.9% of the Aberdeen City population was aged 18 to 30, compared to 17.3% of the Scottish population.</w:t>
      </w:r>
      <w:r w:rsidR="009A1919">
        <w:t xml:space="preserve"> </w:t>
      </w:r>
      <w:bookmarkStart w:id="0" w:name="_GoBack"/>
      <w:r w:rsidR="009A1919" w:rsidRPr="008C2702">
        <w:rPr>
          <w:sz w:val="24"/>
          <w:szCs w:val="24"/>
        </w:rPr>
        <w:t>Aberdeen has historically benefitted from large numbers of students living in the city bolstering this population, but also as a place for young professionals as is the case in many large cities</w:t>
      </w:r>
      <w:bookmarkEnd w:id="0"/>
      <w:r w:rsidR="008C2702">
        <w:t xml:space="preserve">.  </w:t>
      </w:r>
      <w:r w:rsidRPr="002D36FC">
        <w:rPr>
          <w:sz w:val="24"/>
          <w:szCs w:val="24"/>
        </w:rPr>
        <w:t xml:space="preserve"> Our population is projected to grow by 28% by 2037 which is the largest growth of all Scottish local authorities. In 2012 there was 103,934 households in the City; it is projected that by 2037 there will be in excess of </w:t>
      </w:r>
      <w:r w:rsidRPr="002D36FC">
        <w:rPr>
          <w:sz w:val="24"/>
          <w:szCs w:val="24"/>
        </w:rPr>
        <w:lastRenderedPageBreak/>
        <w:t xml:space="preserve">140,000 households. Given the current economic climate and recent political developments, these projections may change. Aberdeen City has a very diverse population, with 15.9% not born in the UK compared to 7% of the population across the country. Children (0-15) make up 15% of Aberdeen’s population and education is provided to more than 22,000 pupils. Demand for early learning and childcare is high in Aberdeen City and there is a shortage of available funded provision, with 570 children on the waiting list in October 2014. In July 2014 there were 577 looked after children in Aberdeen City, a rate </w:t>
      </w:r>
      <w:proofErr w:type="gramStart"/>
      <w:r w:rsidRPr="002D36FC">
        <w:rPr>
          <w:sz w:val="24"/>
          <w:szCs w:val="24"/>
        </w:rPr>
        <w:t>similar to</w:t>
      </w:r>
      <w:proofErr w:type="gramEnd"/>
      <w:r w:rsidRPr="002D36FC">
        <w:rPr>
          <w:sz w:val="24"/>
          <w:szCs w:val="24"/>
        </w:rPr>
        <w:t xml:space="preserve"> the national rate. People in Aberdeen are living longer. The over-</w:t>
      </w:r>
      <w:proofErr w:type="spellStart"/>
      <w:r w:rsidRPr="002D36FC">
        <w:rPr>
          <w:sz w:val="24"/>
          <w:szCs w:val="24"/>
        </w:rPr>
        <w:t>65s</w:t>
      </w:r>
      <w:proofErr w:type="spellEnd"/>
      <w:r w:rsidRPr="002D36FC">
        <w:rPr>
          <w:sz w:val="24"/>
          <w:szCs w:val="24"/>
        </w:rPr>
        <w:t xml:space="preserve"> account for another 15% of the population of Aberdeen, and projections are that the population will continue to age. An older population brings many benefits and challenges. Older people are more likely to suffer from multiple and complex care needs, and therefore the demand for all services will shift.</w:t>
      </w:r>
    </w:p>
    <w:p w14:paraId="59DA0500" w14:textId="1BFEA4D9" w:rsidR="00B1340D" w:rsidRPr="0069017B" w:rsidRDefault="00B1340D" w:rsidP="00CF4CD4">
      <w:pPr>
        <w:tabs>
          <w:tab w:val="left" w:pos="880"/>
          <w:tab w:val="left" w:pos="881"/>
        </w:tabs>
        <w:jc w:val="both"/>
        <w:rPr>
          <w:sz w:val="24"/>
          <w:szCs w:val="24"/>
        </w:rPr>
      </w:pPr>
    </w:p>
    <w:p w14:paraId="1306D620" w14:textId="0851536F" w:rsidR="00B1340D" w:rsidRPr="0069017B" w:rsidRDefault="00B1340D" w:rsidP="00CF4CD4">
      <w:pPr>
        <w:tabs>
          <w:tab w:val="left" w:pos="880"/>
          <w:tab w:val="left" w:pos="881"/>
        </w:tabs>
        <w:jc w:val="both"/>
        <w:rPr>
          <w:sz w:val="24"/>
          <w:szCs w:val="24"/>
        </w:rPr>
      </w:pPr>
    </w:p>
    <w:p w14:paraId="535CC5F8" w14:textId="77777777" w:rsidR="00E61C88" w:rsidRPr="00E61C88" w:rsidRDefault="00B1340D" w:rsidP="00E61C88">
      <w:pPr>
        <w:pStyle w:val="ListParagraph"/>
        <w:numPr>
          <w:ilvl w:val="0"/>
          <w:numId w:val="11"/>
        </w:numPr>
        <w:tabs>
          <w:tab w:val="left" w:pos="880"/>
          <w:tab w:val="left" w:pos="881"/>
        </w:tabs>
        <w:jc w:val="both"/>
        <w:rPr>
          <w:sz w:val="24"/>
          <w:szCs w:val="24"/>
        </w:rPr>
      </w:pPr>
      <w:r w:rsidRPr="00E61C88">
        <w:rPr>
          <w:b/>
          <w:color w:val="365F91" w:themeColor="accent1" w:themeShade="BF"/>
          <w:sz w:val="24"/>
          <w:szCs w:val="24"/>
        </w:rPr>
        <w:t xml:space="preserve">Place </w:t>
      </w:r>
    </w:p>
    <w:p w14:paraId="72127775" w14:textId="77777777" w:rsidR="00E61C88" w:rsidRDefault="00E61C88" w:rsidP="00E61C88">
      <w:pPr>
        <w:tabs>
          <w:tab w:val="left" w:pos="880"/>
          <w:tab w:val="left" w:pos="881"/>
        </w:tabs>
        <w:jc w:val="both"/>
        <w:rPr>
          <w:sz w:val="24"/>
          <w:szCs w:val="24"/>
        </w:rPr>
      </w:pPr>
    </w:p>
    <w:p w14:paraId="32FA7994" w14:textId="00057153" w:rsidR="00B1340D" w:rsidRPr="00E61C88" w:rsidRDefault="00B1340D" w:rsidP="00E61C88">
      <w:pPr>
        <w:tabs>
          <w:tab w:val="left" w:pos="880"/>
          <w:tab w:val="left" w:pos="881"/>
        </w:tabs>
        <w:jc w:val="both"/>
        <w:rPr>
          <w:sz w:val="24"/>
          <w:szCs w:val="24"/>
        </w:rPr>
      </w:pPr>
      <w:r w:rsidRPr="00E61C88">
        <w:rPr>
          <w:sz w:val="24"/>
          <w:szCs w:val="24"/>
        </w:rPr>
        <w:t xml:space="preserve">Aberdeen has 37 neighbourhoods. The Scottish Index of Multiple Deprivation (SIMD) is the Scottish Government’s official tool for identifying small area concentrations of multiple deprivation across Scotland. </w:t>
      </w:r>
      <w:r w:rsidR="007D67D5" w:rsidRPr="007D67D5">
        <w:rPr>
          <w:sz w:val="24"/>
          <w:szCs w:val="24"/>
        </w:rPr>
        <w:t xml:space="preserve">The most deprived data zones in Aberdeen City </w:t>
      </w:r>
      <w:proofErr w:type="gramStart"/>
      <w:r w:rsidR="007D67D5" w:rsidRPr="007D67D5">
        <w:rPr>
          <w:sz w:val="24"/>
          <w:szCs w:val="24"/>
        </w:rPr>
        <w:t>are located in</w:t>
      </w:r>
      <w:proofErr w:type="gramEnd"/>
      <w:r w:rsidR="007D67D5" w:rsidRPr="007D67D5">
        <w:rPr>
          <w:sz w:val="24"/>
          <w:szCs w:val="24"/>
        </w:rPr>
        <w:t xml:space="preserve"> the Torry, Middlefield, Northfield, Seaton, </w:t>
      </w:r>
      <w:proofErr w:type="spellStart"/>
      <w:r w:rsidR="007D67D5" w:rsidRPr="007D67D5">
        <w:rPr>
          <w:sz w:val="24"/>
          <w:szCs w:val="24"/>
        </w:rPr>
        <w:t>Tillydrone</w:t>
      </w:r>
      <w:proofErr w:type="spellEnd"/>
      <w:r w:rsidR="007D67D5" w:rsidRPr="007D67D5">
        <w:rPr>
          <w:sz w:val="24"/>
          <w:szCs w:val="24"/>
        </w:rPr>
        <w:t xml:space="preserve">, Woodside, Mastrick, </w:t>
      </w:r>
      <w:proofErr w:type="spellStart"/>
      <w:r w:rsidR="007D67D5" w:rsidRPr="007D67D5">
        <w:rPr>
          <w:sz w:val="24"/>
          <w:szCs w:val="24"/>
        </w:rPr>
        <w:t>Sheddocksley</w:t>
      </w:r>
      <w:proofErr w:type="spellEnd"/>
      <w:r w:rsidR="007D67D5" w:rsidRPr="007D67D5">
        <w:rPr>
          <w:sz w:val="24"/>
          <w:szCs w:val="24"/>
        </w:rPr>
        <w:t xml:space="preserve"> and George Street neighbourhoods.</w:t>
      </w:r>
      <w:r w:rsidR="007D67D5">
        <w:t xml:space="preserve">  </w:t>
      </w:r>
      <w:r w:rsidRPr="00E61C88">
        <w:rPr>
          <w:sz w:val="24"/>
          <w:szCs w:val="24"/>
        </w:rPr>
        <w:t xml:space="preserve">The City has a healthy expanse of green and open space. Well maintained, attractive and accessible natural spaces bring benefits to the health and wellbeing of people. Three-quarters of Aberdeen City’s residents live within a </w:t>
      </w:r>
      <w:proofErr w:type="gramStart"/>
      <w:r w:rsidRPr="00E61C88">
        <w:rPr>
          <w:sz w:val="24"/>
          <w:szCs w:val="24"/>
        </w:rPr>
        <w:t>5 minute</w:t>
      </w:r>
      <w:proofErr w:type="gramEnd"/>
      <w:r w:rsidRPr="00E61C88">
        <w:rPr>
          <w:sz w:val="24"/>
          <w:szCs w:val="24"/>
        </w:rPr>
        <w:t xml:space="preserve"> walk of the nearest greenspace, with a further 15% within a ten minute walk, and people who live close to local greenspace are likely to visit it. Continued focus on reducing carbon emissions has reaped rewards – a reduction of 1.8 </w:t>
      </w:r>
      <w:proofErr w:type="spellStart"/>
      <w:r w:rsidRPr="00E61C88">
        <w:rPr>
          <w:sz w:val="24"/>
          <w:szCs w:val="24"/>
        </w:rPr>
        <w:t>kt</w:t>
      </w:r>
      <w:proofErr w:type="spellEnd"/>
      <w:r w:rsidRPr="00E61C88">
        <w:rPr>
          <w:sz w:val="24"/>
          <w:szCs w:val="24"/>
        </w:rPr>
        <w:t xml:space="preserve"> CO2 per capita has been achieved over the past decade. Despite this improvement, air pollution remains a key environmental concern for the Community Planning Partnership. Transport is a major contributor to carbon emissions and in Aberdeen there is an exceptionally high level of car ownership and usage. It is a vicious circle – poor air quality and poor road safety discourages people from walking or </w:t>
      </w:r>
      <w:proofErr w:type="gramStart"/>
      <w:r w:rsidRPr="00E61C88">
        <w:rPr>
          <w:sz w:val="24"/>
          <w:szCs w:val="24"/>
        </w:rPr>
        <w:t>cycling, yet</w:t>
      </w:r>
      <w:proofErr w:type="gramEnd"/>
      <w:r w:rsidRPr="00E61C88">
        <w:rPr>
          <w:sz w:val="24"/>
          <w:szCs w:val="24"/>
        </w:rPr>
        <w:t xml:space="preserve"> reducing reliance on private transport is the best way to improve air quality. As a result of climate change, extreme weather events are becoming more frequent and intense with warmer, </w:t>
      </w:r>
      <w:proofErr w:type="spellStart"/>
      <w:r w:rsidRPr="00E61C88">
        <w:rPr>
          <w:sz w:val="24"/>
          <w:szCs w:val="24"/>
        </w:rPr>
        <w:t>wetter</w:t>
      </w:r>
      <w:proofErr w:type="spellEnd"/>
      <w:r w:rsidRPr="00E61C88">
        <w:rPr>
          <w:sz w:val="24"/>
          <w:szCs w:val="24"/>
        </w:rPr>
        <w:t xml:space="preserve"> winters and drier, hotter summers. Extreme weather events, such as the flooding in Aberdeen in January 2016, disrupt the daily routine of individuals, communities, and organisations. Aberdeen bears 80% of the flood risk within North East Scotland. </w:t>
      </w:r>
    </w:p>
    <w:p w14:paraId="7DBD5935" w14:textId="77777777" w:rsidR="001607C9" w:rsidRPr="00EB497B" w:rsidRDefault="001607C9" w:rsidP="00EB497B">
      <w:pPr>
        <w:pStyle w:val="BodyText"/>
        <w:spacing w:before="11"/>
        <w:jc w:val="both"/>
        <w:rPr>
          <w:sz w:val="24"/>
          <w:szCs w:val="24"/>
        </w:rPr>
      </w:pPr>
    </w:p>
    <w:p w14:paraId="43C0AF8C" w14:textId="424CE9D4" w:rsidR="004405D7" w:rsidRDefault="002E6BCB" w:rsidP="00EB497B">
      <w:pPr>
        <w:pStyle w:val="BodyText"/>
        <w:ind w:left="160" w:right="481"/>
        <w:jc w:val="both"/>
        <w:rPr>
          <w:sz w:val="24"/>
          <w:szCs w:val="24"/>
        </w:rPr>
      </w:pPr>
      <w:r>
        <w:rPr>
          <w:sz w:val="24"/>
          <w:szCs w:val="24"/>
        </w:rPr>
        <w:t>The Board ha</w:t>
      </w:r>
      <w:r w:rsidR="008E0583">
        <w:rPr>
          <w:sz w:val="24"/>
          <w:szCs w:val="24"/>
        </w:rPr>
        <w:t>ve</w:t>
      </w:r>
      <w:r>
        <w:rPr>
          <w:sz w:val="24"/>
          <w:szCs w:val="24"/>
        </w:rPr>
        <w:t xml:space="preserve"> </w:t>
      </w:r>
      <w:r w:rsidR="008F5D23" w:rsidRPr="00EB497B">
        <w:rPr>
          <w:sz w:val="24"/>
          <w:szCs w:val="24"/>
        </w:rPr>
        <w:t xml:space="preserve">developed an </w:t>
      </w:r>
      <w:r w:rsidR="004405D7">
        <w:rPr>
          <w:sz w:val="24"/>
          <w:szCs w:val="24"/>
        </w:rPr>
        <w:t xml:space="preserve">interactive </w:t>
      </w:r>
      <w:r>
        <w:rPr>
          <w:sz w:val="24"/>
          <w:szCs w:val="24"/>
        </w:rPr>
        <w:t xml:space="preserve">map </w:t>
      </w:r>
      <w:r w:rsidR="008F5D23" w:rsidRPr="00EB497B">
        <w:rPr>
          <w:sz w:val="24"/>
          <w:szCs w:val="24"/>
        </w:rPr>
        <w:t>containing</w:t>
      </w:r>
      <w:r w:rsidR="00B90EC3">
        <w:rPr>
          <w:sz w:val="24"/>
          <w:szCs w:val="24"/>
        </w:rPr>
        <w:t xml:space="preserve"> </w:t>
      </w:r>
      <w:r>
        <w:rPr>
          <w:sz w:val="24"/>
          <w:szCs w:val="24"/>
        </w:rPr>
        <w:t>each gambling premise</w:t>
      </w:r>
      <w:r w:rsidR="00282D86">
        <w:rPr>
          <w:sz w:val="24"/>
          <w:szCs w:val="24"/>
        </w:rPr>
        <w:t>s</w:t>
      </w:r>
      <w:r w:rsidR="004405D7">
        <w:rPr>
          <w:sz w:val="24"/>
          <w:szCs w:val="24"/>
        </w:rPr>
        <w:t xml:space="preserve"> within Aberdeen</w:t>
      </w:r>
      <w:r w:rsidR="00282D86">
        <w:rPr>
          <w:sz w:val="24"/>
          <w:szCs w:val="24"/>
        </w:rPr>
        <w:t xml:space="preserve"> and </w:t>
      </w:r>
      <w:r w:rsidR="004405D7">
        <w:rPr>
          <w:sz w:val="24"/>
          <w:szCs w:val="24"/>
        </w:rPr>
        <w:t>the following:</w:t>
      </w:r>
    </w:p>
    <w:p w14:paraId="01C1E00E" w14:textId="77777777" w:rsidR="004405D7" w:rsidRPr="004405D7" w:rsidRDefault="004405D7" w:rsidP="00EB497B">
      <w:pPr>
        <w:pStyle w:val="BodyText"/>
        <w:ind w:left="160" w:right="481"/>
        <w:jc w:val="both"/>
        <w:rPr>
          <w:sz w:val="24"/>
          <w:szCs w:val="24"/>
        </w:rPr>
      </w:pPr>
    </w:p>
    <w:p w14:paraId="40DBAE95" w14:textId="77777777" w:rsidR="004405D7" w:rsidRPr="004405D7" w:rsidRDefault="004405D7" w:rsidP="004405D7">
      <w:pPr>
        <w:widowControl/>
        <w:numPr>
          <w:ilvl w:val="0"/>
          <w:numId w:val="15"/>
        </w:numPr>
        <w:autoSpaceDE/>
        <w:autoSpaceDN/>
        <w:rPr>
          <w:rFonts w:ascii="Calibri" w:eastAsia="Times New Roman" w:hAnsi="Calibri" w:cs="Calibri"/>
          <w:sz w:val="24"/>
          <w:szCs w:val="24"/>
          <w:lang w:bidi="ar-SA"/>
        </w:rPr>
      </w:pPr>
      <w:r w:rsidRPr="004405D7">
        <w:rPr>
          <w:rFonts w:eastAsia="Times New Roman"/>
          <w:sz w:val="24"/>
          <w:szCs w:val="24"/>
        </w:rPr>
        <w:t xml:space="preserve">local education facilities </w:t>
      </w:r>
    </w:p>
    <w:p w14:paraId="1CF23A45" w14:textId="77777777" w:rsidR="004405D7" w:rsidRPr="004405D7" w:rsidRDefault="004405D7" w:rsidP="004405D7">
      <w:pPr>
        <w:widowControl/>
        <w:numPr>
          <w:ilvl w:val="0"/>
          <w:numId w:val="15"/>
        </w:numPr>
        <w:autoSpaceDE/>
        <w:autoSpaceDN/>
        <w:rPr>
          <w:rFonts w:eastAsia="Times New Roman"/>
          <w:sz w:val="24"/>
          <w:szCs w:val="24"/>
        </w:rPr>
      </w:pPr>
      <w:r w:rsidRPr="004405D7">
        <w:rPr>
          <w:rFonts w:eastAsia="Times New Roman"/>
          <w:sz w:val="24"/>
          <w:szCs w:val="24"/>
        </w:rPr>
        <w:t xml:space="preserve">drug/alcohol/gambling treatment centres </w:t>
      </w:r>
    </w:p>
    <w:p w14:paraId="13B224F0" w14:textId="77777777" w:rsidR="004405D7" w:rsidRPr="004405D7" w:rsidRDefault="004405D7" w:rsidP="004405D7">
      <w:pPr>
        <w:widowControl/>
        <w:numPr>
          <w:ilvl w:val="0"/>
          <w:numId w:val="15"/>
        </w:numPr>
        <w:autoSpaceDE/>
        <w:autoSpaceDN/>
        <w:rPr>
          <w:rFonts w:eastAsia="Times New Roman"/>
          <w:sz w:val="24"/>
          <w:szCs w:val="24"/>
        </w:rPr>
      </w:pPr>
      <w:r w:rsidRPr="004405D7">
        <w:rPr>
          <w:rFonts w:eastAsia="Times New Roman"/>
          <w:sz w:val="24"/>
          <w:szCs w:val="24"/>
        </w:rPr>
        <w:t xml:space="preserve">community centres </w:t>
      </w:r>
    </w:p>
    <w:p w14:paraId="343FC3AF" w14:textId="77777777" w:rsidR="004405D7" w:rsidRPr="004405D7" w:rsidRDefault="004405D7" w:rsidP="004405D7">
      <w:pPr>
        <w:widowControl/>
        <w:numPr>
          <w:ilvl w:val="0"/>
          <w:numId w:val="15"/>
        </w:numPr>
        <w:autoSpaceDE/>
        <w:autoSpaceDN/>
        <w:rPr>
          <w:rFonts w:eastAsia="Times New Roman"/>
          <w:sz w:val="24"/>
          <w:szCs w:val="24"/>
        </w:rPr>
      </w:pPr>
      <w:r w:rsidRPr="004405D7">
        <w:rPr>
          <w:rFonts w:eastAsia="Times New Roman"/>
          <w:sz w:val="24"/>
          <w:szCs w:val="24"/>
        </w:rPr>
        <w:t>supported accommodation/hostels</w:t>
      </w:r>
    </w:p>
    <w:p w14:paraId="0D42E8C5" w14:textId="77777777" w:rsidR="004405D7" w:rsidRPr="004405D7" w:rsidRDefault="004405D7" w:rsidP="004405D7">
      <w:pPr>
        <w:widowControl/>
        <w:numPr>
          <w:ilvl w:val="0"/>
          <w:numId w:val="15"/>
        </w:numPr>
        <w:autoSpaceDE/>
        <w:autoSpaceDN/>
        <w:rPr>
          <w:rFonts w:eastAsia="Times New Roman"/>
          <w:sz w:val="24"/>
          <w:szCs w:val="24"/>
        </w:rPr>
      </w:pPr>
      <w:r w:rsidRPr="004405D7">
        <w:rPr>
          <w:rFonts w:eastAsia="Times New Roman"/>
          <w:sz w:val="24"/>
          <w:szCs w:val="24"/>
        </w:rPr>
        <w:t xml:space="preserve">doctors’ surgeries </w:t>
      </w:r>
    </w:p>
    <w:p w14:paraId="5AE87906" w14:textId="77777777" w:rsidR="004405D7" w:rsidRPr="004405D7" w:rsidRDefault="004405D7" w:rsidP="004405D7">
      <w:pPr>
        <w:widowControl/>
        <w:numPr>
          <w:ilvl w:val="0"/>
          <w:numId w:val="15"/>
        </w:numPr>
        <w:autoSpaceDE/>
        <w:autoSpaceDN/>
        <w:rPr>
          <w:rFonts w:eastAsia="Times New Roman"/>
          <w:sz w:val="24"/>
          <w:szCs w:val="24"/>
        </w:rPr>
      </w:pPr>
      <w:r w:rsidRPr="004405D7">
        <w:rPr>
          <w:rFonts w:eastAsia="Times New Roman"/>
          <w:sz w:val="24"/>
          <w:szCs w:val="24"/>
        </w:rPr>
        <w:t>places of worship</w:t>
      </w:r>
    </w:p>
    <w:p w14:paraId="2377C282" w14:textId="7AAC4E15" w:rsidR="004405D7" w:rsidRDefault="004405D7" w:rsidP="004405D7">
      <w:pPr>
        <w:widowControl/>
        <w:numPr>
          <w:ilvl w:val="0"/>
          <w:numId w:val="15"/>
        </w:numPr>
        <w:autoSpaceDE/>
        <w:autoSpaceDN/>
        <w:rPr>
          <w:rFonts w:eastAsia="Times New Roman"/>
          <w:sz w:val="24"/>
          <w:szCs w:val="24"/>
        </w:rPr>
      </w:pPr>
      <w:r w:rsidRPr="004405D7">
        <w:rPr>
          <w:rFonts w:eastAsia="Times New Roman"/>
          <w:sz w:val="24"/>
          <w:szCs w:val="24"/>
        </w:rPr>
        <w:t>play areas</w:t>
      </w:r>
    </w:p>
    <w:p w14:paraId="3F3C63C8" w14:textId="2F6F81ED" w:rsidR="00DB2497" w:rsidRDefault="00DB2497" w:rsidP="004405D7">
      <w:pPr>
        <w:widowControl/>
        <w:numPr>
          <w:ilvl w:val="0"/>
          <w:numId w:val="15"/>
        </w:numPr>
        <w:autoSpaceDE/>
        <w:autoSpaceDN/>
        <w:rPr>
          <w:rFonts w:eastAsia="Times New Roman"/>
          <w:sz w:val="24"/>
          <w:szCs w:val="24"/>
        </w:rPr>
      </w:pPr>
      <w:r>
        <w:rPr>
          <w:rFonts w:eastAsia="Times New Roman"/>
          <w:sz w:val="24"/>
          <w:szCs w:val="24"/>
        </w:rPr>
        <w:t xml:space="preserve">the local of alcohol licensed premises. </w:t>
      </w:r>
    </w:p>
    <w:p w14:paraId="5F92ED0A" w14:textId="68602368" w:rsidR="00B90EC3" w:rsidRDefault="00B90EC3" w:rsidP="00B90EC3">
      <w:pPr>
        <w:widowControl/>
        <w:autoSpaceDE/>
        <w:autoSpaceDN/>
        <w:rPr>
          <w:rFonts w:eastAsia="Times New Roman"/>
          <w:sz w:val="24"/>
          <w:szCs w:val="24"/>
        </w:rPr>
      </w:pPr>
    </w:p>
    <w:p w14:paraId="4B3B3FB9" w14:textId="1D5F69BD" w:rsidR="00B90EC3" w:rsidRDefault="00B90EC3" w:rsidP="00B90EC3">
      <w:pPr>
        <w:widowControl/>
        <w:autoSpaceDE/>
        <w:autoSpaceDN/>
        <w:rPr>
          <w:sz w:val="24"/>
          <w:szCs w:val="24"/>
        </w:rPr>
      </w:pPr>
      <w:r>
        <w:rPr>
          <w:rFonts w:eastAsia="Times New Roman"/>
          <w:sz w:val="24"/>
          <w:szCs w:val="24"/>
        </w:rPr>
        <w:t xml:space="preserve">The map can be accessed here </w:t>
      </w:r>
      <w:hyperlink r:id="rId8" w:history="1">
        <w:r w:rsidRPr="00B30060">
          <w:rPr>
            <w:rStyle w:val="Hyperlink"/>
            <w:sz w:val="24"/>
            <w:szCs w:val="24"/>
          </w:rPr>
          <w:t>http://accabdn.maps.arcgis.com/apps/webappviewer/index.html?id=397aaf4ccf094e0fb0be9ff32fc3930f</w:t>
        </w:r>
      </w:hyperlink>
      <w:r>
        <w:rPr>
          <w:sz w:val="24"/>
          <w:szCs w:val="24"/>
        </w:rPr>
        <w:t xml:space="preserve"> </w:t>
      </w:r>
    </w:p>
    <w:p w14:paraId="70683699" w14:textId="69037B99" w:rsidR="005B336D" w:rsidRDefault="005B336D" w:rsidP="00B90EC3">
      <w:pPr>
        <w:widowControl/>
        <w:autoSpaceDE/>
        <w:autoSpaceDN/>
        <w:rPr>
          <w:sz w:val="24"/>
          <w:szCs w:val="24"/>
        </w:rPr>
      </w:pPr>
    </w:p>
    <w:p w14:paraId="4161926B" w14:textId="77777777" w:rsidR="008C0BE9" w:rsidRDefault="00DB2497" w:rsidP="008C0BE9">
      <w:pPr>
        <w:tabs>
          <w:tab w:val="left" w:pos="1240"/>
          <w:tab w:val="left" w:pos="1241"/>
        </w:tabs>
        <w:spacing w:after="100" w:afterAutospacing="1"/>
        <w:ind w:right="472"/>
        <w:jc w:val="both"/>
        <w:rPr>
          <w:sz w:val="24"/>
          <w:szCs w:val="24"/>
        </w:rPr>
      </w:pPr>
      <w:r w:rsidRPr="008C0BE9">
        <w:rPr>
          <w:sz w:val="24"/>
          <w:szCs w:val="24"/>
        </w:rPr>
        <w:t>This list is not exhaustive</w:t>
      </w:r>
      <w:r w:rsidR="008C0BE9" w:rsidRPr="008C0BE9">
        <w:rPr>
          <w:sz w:val="24"/>
          <w:szCs w:val="24"/>
        </w:rPr>
        <w:t>,</w:t>
      </w:r>
      <w:r w:rsidRPr="008C0BE9">
        <w:rPr>
          <w:sz w:val="24"/>
          <w:szCs w:val="24"/>
        </w:rPr>
        <w:t xml:space="preserve"> and operators should include any relevant local risks which they believe may impact on the licensing</w:t>
      </w:r>
      <w:r w:rsidRPr="008C0BE9">
        <w:rPr>
          <w:spacing w:val="-8"/>
          <w:sz w:val="24"/>
          <w:szCs w:val="24"/>
        </w:rPr>
        <w:t xml:space="preserve"> </w:t>
      </w:r>
      <w:r w:rsidRPr="008C0BE9">
        <w:rPr>
          <w:sz w:val="24"/>
          <w:szCs w:val="24"/>
        </w:rPr>
        <w:t>objectives.</w:t>
      </w:r>
    </w:p>
    <w:p w14:paraId="3F844C64" w14:textId="44E286FE" w:rsidR="00691C06" w:rsidRPr="008C0BE9" w:rsidRDefault="00084577" w:rsidP="008C0BE9">
      <w:pPr>
        <w:tabs>
          <w:tab w:val="left" w:pos="1240"/>
          <w:tab w:val="left" w:pos="1241"/>
        </w:tabs>
        <w:spacing w:after="100" w:afterAutospacing="1"/>
        <w:ind w:right="472"/>
        <w:jc w:val="both"/>
        <w:rPr>
          <w:sz w:val="24"/>
          <w:szCs w:val="24"/>
        </w:rPr>
      </w:pPr>
      <w:r w:rsidRPr="00EB497B">
        <w:rPr>
          <w:sz w:val="24"/>
          <w:szCs w:val="24"/>
        </w:rPr>
        <w:lastRenderedPageBreak/>
        <w:t xml:space="preserve">It is </w:t>
      </w:r>
      <w:r>
        <w:rPr>
          <w:sz w:val="24"/>
          <w:szCs w:val="24"/>
        </w:rPr>
        <w:t xml:space="preserve">further </w:t>
      </w:r>
      <w:r w:rsidRPr="00EB497B">
        <w:rPr>
          <w:sz w:val="24"/>
          <w:szCs w:val="24"/>
        </w:rPr>
        <w:t xml:space="preserve">recommended </w:t>
      </w:r>
      <w:r>
        <w:rPr>
          <w:sz w:val="24"/>
          <w:szCs w:val="24"/>
        </w:rPr>
        <w:t xml:space="preserve">that </w:t>
      </w:r>
      <w:r w:rsidRPr="00EB497B">
        <w:rPr>
          <w:sz w:val="24"/>
          <w:szCs w:val="24"/>
        </w:rPr>
        <w:t>as part of research when writing a risk assessment, analysis of the</w:t>
      </w:r>
      <w:r w:rsidR="000341D6">
        <w:rPr>
          <w:sz w:val="24"/>
          <w:szCs w:val="24"/>
        </w:rPr>
        <w:t xml:space="preserve"> </w:t>
      </w:r>
      <w:r w:rsidR="00C73589">
        <w:rPr>
          <w:sz w:val="24"/>
          <w:szCs w:val="24"/>
        </w:rPr>
        <w:t>statistical</w:t>
      </w:r>
      <w:r>
        <w:rPr>
          <w:sz w:val="24"/>
          <w:szCs w:val="24"/>
        </w:rPr>
        <w:t xml:space="preserve"> documents </w:t>
      </w:r>
      <w:r w:rsidR="00414927">
        <w:rPr>
          <w:sz w:val="24"/>
          <w:szCs w:val="24"/>
        </w:rPr>
        <w:t xml:space="preserve">provided by Aberdeen City Council </w:t>
      </w:r>
      <w:r>
        <w:rPr>
          <w:sz w:val="24"/>
          <w:szCs w:val="24"/>
        </w:rPr>
        <w:t>may be useful to operators</w:t>
      </w:r>
      <w:r w:rsidR="00414927">
        <w:rPr>
          <w:sz w:val="24"/>
          <w:szCs w:val="24"/>
        </w:rPr>
        <w:t xml:space="preserve">.  The Documents </w:t>
      </w:r>
      <w:r w:rsidR="00E00872">
        <w:rPr>
          <w:sz w:val="24"/>
          <w:szCs w:val="24"/>
        </w:rPr>
        <w:t>contain information</w:t>
      </w:r>
      <w:r w:rsidR="00414927">
        <w:rPr>
          <w:sz w:val="24"/>
          <w:szCs w:val="24"/>
        </w:rPr>
        <w:t xml:space="preserve"> relat</w:t>
      </w:r>
      <w:r w:rsidR="00E00872">
        <w:rPr>
          <w:sz w:val="24"/>
          <w:szCs w:val="24"/>
        </w:rPr>
        <w:t>ing</w:t>
      </w:r>
      <w:r w:rsidR="00414927">
        <w:rPr>
          <w:sz w:val="24"/>
          <w:szCs w:val="24"/>
        </w:rPr>
        <w:t xml:space="preserve"> to</w:t>
      </w:r>
      <w:r w:rsidR="00691C06">
        <w:rPr>
          <w:sz w:val="24"/>
          <w:szCs w:val="24"/>
        </w:rPr>
        <w:t>:</w:t>
      </w:r>
      <w:r w:rsidR="00691C06">
        <w:rPr>
          <w:sz w:val="24"/>
          <w:szCs w:val="24"/>
        </w:rPr>
        <w:tab/>
      </w:r>
    </w:p>
    <w:p w14:paraId="09B72251" w14:textId="77777777" w:rsidR="00691C06" w:rsidRPr="00691C06" w:rsidRDefault="00691C06" w:rsidP="00691C06">
      <w:pPr>
        <w:widowControl/>
        <w:shd w:val="clear" w:color="auto" w:fill="FFFFFF"/>
        <w:autoSpaceDE/>
        <w:autoSpaceDN/>
        <w:spacing w:before="100" w:beforeAutospacing="1" w:after="100" w:afterAutospacing="1"/>
        <w:rPr>
          <w:rFonts w:ascii="proxima-nova" w:eastAsia="Times New Roman" w:hAnsi="proxima-nova" w:cs="Times New Roman"/>
          <w:color w:val="1B1B3A"/>
          <w:lang w:bidi="ar-SA"/>
        </w:rPr>
      </w:pPr>
    </w:p>
    <w:p w14:paraId="75632FDF" w14:textId="42FB58A3" w:rsidR="00E00872" w:rsidRPr="009552C4" w:rsidRDefault="008C2702" w:rsidP="00691C06">
      <w:pPr>
        <w:widowControl/>
        <w:numPr>
          <w:ilvl w:val="1"/>
          <w:numId w:val="17"/>
        </w:numPr>
        <w:shd w:val="clear" w:color="auto" w:fill="FFFFFF"/>
        <w:autoSpaceDE/>
        <w:autoSpaceDN/>
        <w:spacing w:before="100" w:beforeAutospacing="1" w:after="100" w:afterAutospacing="1"/>
        <w:rPr>
          <w:rFonts w:eastAsia="Times New Roman"/>
          <w:color w:val="1B1B3A"/>
          <w:sz w:val="24"/>
          <w:szCs w:val="24"/>
          <w:lang w:bidi="ar-SA"/>
        </w:rPr>
      </w:pPr>
      <w:hyperlink r:id="rId9" w:history="1">
        <w:r w:rsidR="00E00872" w:rsidRPr="009552C4">
          <w:rPr>
            <w:rStyle w:val="Hyperlink"/>
            <w:color w:val="334CA4"/>
            <w:sz w:val="24"/>
            <w:szCs w:val="24"/>
          </w:rPr>
          <w:t>Population</w:t>
        </w:r>
      </w:hyperlink>
    </w:p>
    <w:p w14:paraId="7930676F" w14:textId="77777777" w:rsidR="00E00872" w:rsidRPr="009552C4" w:rsidRDefault="008C2702" w:rsidP="00691C06">
      <w:pPr>
        <w:widowControl/>
        <w:numPr>
          <w:ilvl w:val="1"/>
          <w:numId w:val="17"/>
        </w:numPr>
        <w:shd w:val="clear" w:color="auto" w:fill="FFFFFF"/>
        <w:autoSpaceDE/>
        <w:autoSpaceDN/>
        <w:spacing w:before="100" w:beforeAutospacing="1" w:after="100" w:afterAutospacing="1"/>
        <w:rPr>
          <w:color w:val="1B1B3A"/>
          <w:sz w:val="24"/>
          <w:szCs w:val="24"/>
        </w:rPr>
      </w:pPr>
      <w:hyperlink r:id="rId10" w:history="1">
        <w:r w:rsidR="00E00872" w:rsidRPr="009552C4">
          <w:rPr>
            <w:rStyle w:val="Hyperlink"/>
            <w:color w:val="334CA4"/>
            <w:sz w:val="24"/>
            <w:szCs w:val="24"/>
          </w:rPr>
          <w:t>People </w:t>
        </w:r>
      </w:hyperlink>
    </w:p>
    <w:p w14:paraId="50FCFD0B" w14:textId="77777777" w:rsidR="00E00872" w:rsidRPr="009552C4" w:rsidRDefault="008C2702" w:rsidP="00691C06">
      <w:pPr>
        <w:widowControl/>
        <w:numPr>
          <w:ilvl w:val="1"/>
          <w:numId w:val="17"/>
        </w:numPr>
        <w:shd w:val="clear" w:color="auto" w:fill="FFFFFF"/>
        <w:autoSpaceDE/>
        <w:autoSpaceDN/>
        <w:spacing w:before="100" w:beforeAutospacing="1" w:after="100" w:afterAutospacing="1"/>
        <w:rPr>
          <w:color w:val="1B1B3A"/>
          <w:sz w:val="24"/>
          <w:szCs w:val="24"/>
        </w:rPr>
      </w:pPr>
      <w:hyperlink r:id="rId11" w:history="1">
        <w:r w:rsidR="00E00872" w:rsidRPr="009552C4">
          <w:rPr>
            <w:rStyle w:val="Hyperlink"/>
            <w:color w:val="334CA4"/>
            <w:sz w:val="24"/>
            <w:szCs w:val="24"/>
          </w:rPr>
          <w:t>Census 2011</w:t>
        </w:r>
      </w:hyperlink>
    </w:p>
    <w:p w14:paraId="1484623F" w14:textId="77777777" w:rsidR="00E00872" w:rsidRPr="009552C4" w:rsidRDefault="008C2702" w:rsidP="00691C06">
      <w:pPr>
        <w:widowControl/>
        <w:numPr>
          <w:ilvl w:val="1"/>
          <w:numId w:val="17"/>
        </w:numPr>
        <w:shd w:val="clear" w:color="auto" w:fill="FFFFFF"/>
        <w:autoSpaceDE/>
        <w:autoSpaceDN/>
        <w:spacing w:before="100" w:beforeAutospacing="1" w:after="100" w:afterAutospacing="1"/>
        <w:rPr>
          <w:color w:val="1B1B3A"/>
          <w:sz w:val="24"/>
          <w:szCs w:val="24"/>
        </w:rPr>
      </w:pPr>
      <w:hyperlink r:id="rId12" w:history="1">
        <w:r w:rsidR="00E00872" w:rsidRPr="009552C4">
          <w:rPr>
            <w:rStyle w:val="Hyperlink"/>
            <w:color w:val="91170A"/>
            <w:sz w:val="24"/>
            <w:szCs w:val="24"/>
          </w:rPr>
          <w:t>Deprivation</w:t>
        </w:r>
      </w:hyperlink>
    </w:p>
    <w:p w14:paraId="35B9B6CC" w14:textId="77777777" w:rsidR="00E00872" w:rsidRPr="009552C4" w:rsidRDefault="008C2702" w:rsidP="00691C06">
      <w:pPr>
        <w:widowControl/>
        <w:numPr>
          <w:ilvl w:val="1"/>
          <w:numId w:val="17"/>
        </w:numPr>
        <w:shd w:val="clear" w:color="auto" w:fill="FFFFFF"/>
        <w:autoSpaceDE/>
        <w:autoSpaceDN/>
        <w:spacing w:before="100" w:beforeAutospacing="1" w:after="100" w:afterAutospacing="1"/>
        <w:rPr>
          <w:color w:val="1B1B3A"/>
          <w:sz w:val="24"/>
          <w:szCs w:val="24"/>
        </w:rPr>
      </w:pPr>
      <w:hyperlink r:id="rId13" w:history="1">
        <w:r w:rsidR="00E00872" w:rsidRPr="009552C4">
          <w:rPr>
            <w:rStyle w:val="Hyperlink"/>
            <w:color w:val="334CA4"/>
            <w:sz w:val="24"/>
            <w:szCs w:val="24"/>
          </w:rPr>
          <w:t>Place</w:t>
        </w:r>
      </w:hyperlink>
    </w:p>
    <w:p w14:paraId="30A67485" w14:textId="77777777" w:rsidR="00E00872" w:rsidRPr="009552C4" w:rsidRDefault="008C2702" w:rsidP="00691C06">
      <w:pPr>
        <w:widowControl/>
        <w:numPr>
          <w:ilvl w:val="1"/>
          <w:numId w:val="17"/>
        </w:numPr>
        <w:shd w:val="clear" w:color="auto" w:fill="FFFFFF"/>
        <w:autoSpaceDE/>
        <w:autoSpaceDN/>
        <w:spacing w:before="100" w:beforeAutospacing="1" w:after="100" w:afterAutospacing="1"/>
        <w:rPr>
          <w:color w:val="1B1B3A"/>
          <w:sz w:val="24"/>
          <w:szCs w:val="24"/>
        </w:rPr>
      </w:pPr>
      <w:hyperlink r:id="rId14" w:history="1">
        <w:r w:rsidR="00E00872" w:rsidRPr="009552C4">
          <w:rPr>
            <w:rStyle w:val="Hyperlink"/>
            <w:color w:val="334CA4"/>
            <w:sz w:val="24"/>
            <w:szCs w:val="24"/>
          </w:rPr>
          <w:t>Economy</w:t>
        </w:r>
      </w:hyperlink>
    </w:p>
    <w:p w14:paraId="7CD0E5EF" w14:textId="77777777" w:rsidR="00E00872" w:rsidRPr="009552C4" w:rsidRDefault="008C2702" w:rsidP="00691C06">
      <w:pPr>
        <w:widowControl/>
        <w:numPr>
          <w:ilvl w:val="1"/>
          <w:numId w:val="17"/>
        </w:numPr>
        <w:shd w:val="clear" w:color="auto" w:fill="FFFFFF"/>
        <w:autoSpaceDE/>
        <w:autoSpaceDN/>
        <w:spacing w:before="100" w:beforeAutospacing="1" w:after="100" w:afterAutospacing="1"/>
        <w:rPr>
          <w:color w:val="1B1B3A"/>
          <w:sz w:val="24"/>
          <w:szCs w:val="24"/>
        </w:rPr>
      </w:pPr>
      <w:hyperlink r:id="rId15" w:tooltip="Aberdeen Key Facts/Behind the Granite" w:history="1">
        <w:r w:rsidR="00E00872" w:rsidRPr="009552C4">
          <w:rPr>
            <w:rStyle w:val="Hyperlink"/>
            <w:color w:val="334CA4"/>
            <w:sz w:val="24"/>
            <w:szCs w:val="24"/>
          </w:rPr>
          <w:t>Aberdeen Key Facts/Behind the Granite</w:t>
        </w:r>
      </w:hyperlink>
    </w:p>
    <w:p w14:paraId="7511F6EF" w14:textId="77777777" w:rsidR="00E00872" w:rsidRPr="009552C4" w:rsidRDefault="008C2702" w:rsidP="00691C06">
      <w:pPr>
        <w:widowControl/>
        <w:numPr>
          <w:ilvl w:val="1"/>
          <w:numId w:val="17"/>
        </w:numPr>
        <w:shd w:val="clear" w:color="auto" w:fill="FFFFFF"/>
        <w:autoSpaceDE/>
        <w:autoSpaceDN/>
        <w:spacing w:before="100" w:beforeAutospacing="1" w:after="100" w:afterAutospacing="1"/>
        <w:rPr>
          <w:color w:val="1B1B3A"/>
          <w:sz w:val="24"/>
          <w:szCs w:val="24"/>
        </w:rPr>
      </w:pPr>
      <w:hyperlink r:id="rId16" w:history="1">
        <w:r w:rsidR="00E00872" w:rsidRPr="009552C4">
          <w:rPr>
            <w:rStyle w:val="Hyperlink"/>
            <w:color w:val="334CA4"/>
            <w:sz w:val="24"/>
            <w:szCs w:val="24"/>
          </w:rPr>
          <w:t>Aberdeen City area profiles</w:t>
        </w:r>
      </w:hyperlink>
    </w:p>
    <w:p w14:paraId="641449D3" w14:textId="2530052D" w:rsidR="001607C9" w:rsidRDefault="00691C06" w:rsidP="0003407A">
      <w:pPr>
        <w:pStyle w:val="BodyText"/>
        <w:ind w:right="481"/>
        <w:jc w:val="both"/>
        <w:rPr>
          <w:sz w:val="24"/>
          <w:szCs w:val="24"/>
        </w:rPr>
      </w:pPr>
      <w:r>
        <w:rPr>
          <w:sz w:val="24"/>
          <w:szCs w:val="24"/>
        </w:rPr>
        <w:t>and</w:t>
      </w:r>
      <w:r w:rsidR="008F5D23" w:rsidRPr="00EB497B">
        <w:rPr>
          <w:sz w:val="24"/>
          <w:szCs w:val="24"/>
        </w:rPr>
        <w:t xml:space="preserve"> contains statistical information in relation to population, deprivation, quality of life, health and wellbeing, life expectancy, crime, education, social care, housing and ethnicity</w:t>
      </w:r>
      <w:r>
        <w:rPr>
          <w:sz w:val="24"/>
          <w:szCs w:val="24"/>
        </w:rPr>
        <w:t>.</w:t>
      </w:r>
    </w:p>
    <w:p w14:paraId="2CFCEC6D" w14:textId="77777777" w:rsidR="00691C06" w:rsidRDefault="00691C06" w:rsidP="00691C06">
      <w:pPr>
        <w:pStyle w:val="BodyText"/>
        <w:ind w:right="654"/>
        <w:jc w:val="both"/>
        <w:rPr>
          <w:sz w:val="24"/>
          <w:szCs w:val="24"/>
        </w:rPr>
      </w:pPr>
    </w:p>
    <w:p w14:paraId="6B146106" w14:textId="5032192E" w:rsidR="001607C9" w:rsidRPr="00EB497B" w:rsidRDefault="008F5D23" w:rsidP="00691C06">
      <w:pPr>
        <w:pStyle w:val="BodyText"/>
        <w:ind w:right="654"/>
        <w:jc w:val="both"/>
        <w:rPr>
          <w:sz w:val="24"/>
          <w:szCs w:val="24"/>
        </w:rPr>
      </w:pPr>
      <w:r w:rsidRPr="00EB497B">
        <w:rPr>
          <w:sz w:val="24"/>
          <w:szCs w:val="24"/>
        </w:rPr>
        <w:t>As a further means of assistance, information on the number of premises currently licensed by be found below.</w:t>
      </w:r>
    </w:p>
    <w:p w14:paraId="331337A6" w14:textId="77777777" w:rsidR="00691C06" w:rsidRDefault="00691C06" w:rsidP="00691C06">
      <w:pPr>
        <w:pStyle w:val="Heading1"/>
        <w:ind w:left="0"/>
        <w:jc w:val="both"/>
        <w:rPr>
          <w:b w:val="0"/>
          <w:bCs w:val="0"/>
          <w:sz w:val="24"/>
          <w:szCs w:val="24"/>
        </w:rPr>
      </w:pPr>
    </w:p>
    <w:p w14:paraId="318FD82C" w14:textId="77777777" w:rsidR="001607C9" w:rsidRPr="00EB497B" w:rsidRDefault="001607C9" w:rsidP="009552C4">
      <w:pPr>
        <w:jc w:val="both"/>
        <w:rPr>
          <w:sz w:val="24"/>
          <w:szCs w:val="24"/>
        </w:rPr>
      </w:pPr>
    </w:p>
    <w:sectPr w:rsidR="001607C9" w:rsidRPr="00EB497B">
      <w:pgSz w:w="11910" w:h="16840"/>
      <w:pgMar w:top="1420" w:right="9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953"/>
    <w:multiLevelType w:val="hybridMultilevel"/>
    <w:tmpl w:val="DFCE73D2"/>
    <w:lvl w:ilvl="0" w:tplc="BB342888">
      <w:numFmt w:val="bullet"/>
      <w:lvlText w:val="•"/>
      <w:lvlJc w:val="left"/>
      <w:pPr>
        <w:ind w:left="880" w:hanging="720"/>
      </w:pPr>
      <w:rPr>
        <w:rFonts w:ascii="Arial" w:eastAsia="Arial" w:hAnsi="Arial" w:cs="Arial" w:hint="default"/>
        <w:w w:val="99"/>
        <w:sz w:val="20"/>
        <w:szCs w:val="20"/>
        <w:lang w:val="en-GB" w:eastAsia="en-GB" w:bidi="en-GB"/>
      </w:rPr>
    </w:lvl>
    <w:lvl w:ilvl="1" w:tplc="60784B1C">
      <w:numFmt w:val="bullet"/>
      <w:lvlText w:val=""/>
      <w:lvlJc w:val="left"/>
      <w:pPr>
        <w:ind w:left="880" w:hanging="360"/>
      </w:pPr>
      <w:rPr>
        <w:rFonts w:ascii="Symbol" w:eastAsia="Symbol" w:hAnsi="Symbol" w:cs="Symbol" w:hint="default"/>
        <w:w w:val="99"/>
        <w:sz w:val="20"/>
        <w:szCs w:val="20"/>
        <w:lang w:val="en-GB" w:eastAsia="en-GB" w:bidi="en-GB"/>
      </w:rPr>
    </w:lvl>
    <w:lvl w:ilvl="2" w:tplc="C7824324">
      <w:numFmt w:val="bullet"/>
      <w:lvlText w:val="-"/>
      <w:lvlJc w:val="left"/>
      <w:pPr>
        <w:ind w:left="1240" w:hanging="360"/>
      </w:pPr>
      <w:rPr>
        <w:rFonts w:ascii="Arial" w:eastAsia="Arial" w:hAnsi="Arial" w:cs="Arial" w:hint="default"/>
        <w:w w:val="99"/>
        <w:sz w:val="20"/>
        <w:szCs w:val="20"/>
        <w:lang w:val="en-GB" w:eastAsia="en-GB" w:bidi="en-GB"/>
      </w:rPr>
    </w:lvl>
    <w:lvl w:ilvl="3" w:tplc="43BE2B10">
      <w:numFmt w:val="bullet"/>
      <w:lvlText w:val="•"/>
      <w:lvlJc w:val="left"/>
      <w:pPr>
        <w:ind w:left="3108" w:hanging="360"/>
      </w:pPr>
      <w:rPr>
        <w:rFonts w:hint="default"/>
        <w:lang w:val="en-GB" w:eastAsia="en-GB" w:bidi="en-GB"/>
      </w:rPr>
    </w:lvl>
    <w:lvl w:ilvl="4" w:tplc="6C1267DA">
      <w:numFmt w:val="bullet"/>
      <w:lvlText w:val="•"/>
      <w:lvlJc w:val="left"/>
      <w:pPr>
        <w:ind w:left="4042" w:hanging="360"/>
      </w:pPr>
      <w:rPr>
        <w:rFonts w:hint="default"/>
        <w:lang w:val="en-GB" w:eastAsia="en-GB" w:bidi="en-GB"/>
      </w:rPr>
    </w:lvl>
    <w:lvl w:ilvl="5" w:tplc="A39E9050">
      <w:numFmt w:val="bullet"/>
      <w:lvlText w:val="•"/>
      <w:lvlJc w:val="left"/>
      <w:pPr>
        <w:ind w:left="4976" w:hanging="360"/>
      </w:pPr>
      <w:rPr>
        <w:rFonts w:hint="default"/>
        <w:lang w:val="en-GB" w:eastAsia="en-GB" w:bidi="en-GB"/>
      </w:rPr>
    </w:lvl>
    <w:lvl w:ilvl="6" w:tplc="E40A13C2">
      <w:numFmt w:val="bullet"/>
      <w:lvlText w:val="•"/>
      <w:lvlJc w:val="left"/>
      <w:pPr>
        <w:ind w:left="5910" w:hanging="360"/>
      </w:pPr>
      <w:rPr>
        <w:rFonts w:hint="default"/>
        <w:lang w:val="en-GB" w:eastAsia="en-GB" w:bidi="en-GB"/>
      </w:rPr>
    </w:lvl>
    <w:lvl w:ilvl="7" w:tplc="62ACB78E">
      <w:numFmt w:val="bullet"/>
      <w:lvlText w:val="•"/>
      <w:lvlJc w:val="left"/>
      <w:pPr>
        <w:ind w:left="6844" w:hanging="360"/>
      </w:pPr>
      <w:rPr>
        <w:rFonts w:hint="default"/>
        <w:lang w:val="en-GB" w:eastAsia="en-GB" w:bidi="en-GB"/>
      </w:rPr>
    </w:lvl>
    <w:lvl w:ilvl="8" w:tplc="3ACC2ACC">
      <w:numFmt w:val="bullet"/>
      <w:lvlText w:val="•"/>
      <w:lvlJc w:val="left"/>
      <w:pPr>
        <w:ind w:left="7778" w:hanging="360"/>
      </w:pPr>
      <w:rPr>
        <w:rFonts w:hint="default"/>
        <w:lang w:val="en-GB" w:eastAsia="en-GB" w:bidi="en-GB"/>
      </w:rPr>
    </w:lvl>
  </w:abstractNum>
  <w:abstractNum w:abstractNumId="1" w15:restartNumberingAfterBreak="0">
    <w:nsid w:val="0647033C"/>
    <w:multiLevelType w:val="hybridMultilevel"/>
    <w:tmpl w:val="64D2396C"/>
    <w:lvl w:ilvl="0" w:tplc="5D3AE2F2">
      <w:start w:val="1"/>
      <w:numFmt w:val="bullet"/>
      <w:lvlText w:val="•"/>
      <w:lvlJc w:val="left"/>
      <w:pPr>
        <w:tabs>
          <w:tab w:val="num" w:pos="720"/>
        </w:tabs>
        <w:ind w:left="720" w:hanging="360"/>
      </w:pPr>
      <w:rPr>
        <w:rFonts w:ascii="Arial" w:hAnsi="Arial" w:cs="Times New Roman" w:hint="default"/>
      </w:rPr>
    </w:lvl>
    <w:lvl w:ilvl="1" w:tplc="1094728E">
      <w:start w:val="1"/>
      <w:numFmt w:val="bullet"/>
      <w:lvlText w:val="•"/>
      <w:lvlJc w:val="left"/>
      <w:pPr>
        <w:tabs>
          <w:tab w:val="num" w:pos="1440"/>
        </w:tabs>
        <w:ind w:left="1440" w:hanging="360"/>
      </w:pPr>
      <w:rPr>
        <w:rFonts w:ascii="Arial" w:hAnsi="Arial" w:cs="Times New Roman" w:hint="default"/>
      </w:rPr>
    </w:lvl>
    <w:lvl w:ilvl="2" w:tplc="25B2938E">
      <w:start w:val="1"/>
      <w:numFmt w:val="bullet"/>
      <w:lvlText w:val="•"/>
      <w:lvlJc w:val="left"/>
      <w:pPr>
        <w:tabs>
          <w:tab w:val="num" w:pos="2160"/>
        </w:tabs>
        <w:ind w:left="2160" w:hanging="360"/>
      </w:pPr>
      <w:rPr>
        <w:rFonts w:ascii="Arial" w:hAnsi="Arial" w:cs="Times New Roman" w:hint="default"/>
      </w:rPr>
    </w:lvl>
    <w:lvl w:ilvl="3" w:tplc="1108C512">
      <w:start w:val="1"/>
      <w:numFmt w:val="bullet"/>
      <w:lvlText w:val="•"/>
      <w:lvlJc w:val="left"/>
      <w:pPr>
        <w:tabs>
          <w:tab w:val="num" w:pos="2880"/>
        </w:tabs>
        <w:ind w:left="2880" w:hanging="360"/>
      </w:pPr>
      <w:rPr>
        <w:rFonts w:ascii="Arial" w:hAnsi="Arial" w:cs="Times New Roman" w:hint="default"/>
      </w:rPr>
    </w:lvl>
    <w:lvl w:ilvl="4" w:tplc="D422D36E">
      <w:start w:val="1"/>
      <w:numFmt w:val="bullet"/>
      <w:lvlText w:val="•"/>
      <w:lvlJc w:val="left"/>
      <w:pPr>
        <w:tabs>
          <w:tab w:val="num" w:pos="3600"/>
        </w:tabs>
        <w:ind w:left="3600" w:hanging="360"/>
      </w:pPr>
      <w:rPr>
        <w:rFonts w:ascii="Arial" w:hAnsi="Arial" w:cs="Times New Roman" w:hint="default"/>
      </w:rPr>
    </w:lvl>
    <w:lvl w:ilvl="5" w:tplc="D64E1E52">
      <w:start w:val="1"/>
      <w:numFmt w:val="bullet"/>
      <w:lvlText w:val="•"/>
      <w:lvlJc w:val="left"/>
      <w:pPr>
        <w:tabs>
          <w:tab w:val="num" w:pos="4320"/>
        </w:tabs>
        <w:ind w:left="4320" w:hanging="360"/>
      </w:pPr>
      <w:rPr>
        <w:rFonts w:ascii="Arial" w:hAnsi="Arial" w:cs="Times New Roman" w:hint="default"/>
      </w:rPr>
    </w:lvl>
    <w:lvl w:ilvl="6" w:tplc="7E10A08A">
      <w:start w:val="1"/>
      <w:numFmt w:val="bullet"/>
      <w:lvlText w:val="•"/>
      <w:lvlJc w:val="left"/>
      <w:pPr>
        <w:tabs>
          <w:tab w:val="num" w:pos="5040"/>
        </w:tabs>
        <w:ind w:left="5040" w:hanging="360"/>
      </w:pPr>
      <w:rPr>
        <w:rFonts w:ascii="Arial" w:hAnsi="Arial" w:cs="Times New Roman" w:hint="default"/>
      </w:rPr>
    </w:lvl>
    <w:lvl w:ilvl="7" w:tplc="755A62F4">
      <w:start w:val="1"/>
      <w:numFmt w:val="bullet"/>
      <w:lvlText w:val="•"/>
      <w:lvlJc w:val="left"/>
      <w:pPr>
        <w:tabs>
          <w:tab w:val="num" w:pos="5760"/>
        </w:tabs>
        <w:ind w:left="5760" w:hanging="360"/>
      </w:pPr>
      <w:rPr>
        <w:rFonts w:ascii="Arial" w:hAnsi="Arial" w:cs="Times New Roman" w:hint="default"/>
      </w:rPr>
    </w:lvl>
    <w:lvl w:ilvl="8" w:tplc="B656A6E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97E5B5D"/>
    <w:multiLevelType w:val="hybridMultilevel"/>
    <w:tmpl w:val="E6FE63E0"/>
    <w:lvl w:ilvl="0" w:tplc="F10E6E32">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 w15:restartNumberingAfterBreak="0">
    <w:nsid w:val="0BEB794C"/>
    <w:multiLevelType w:val="hybridMultilevel"/>
    <w:tmpl w:val="42121B1E"/>
    <w:lvl w:ilvl="0" w:tplc="A510F83A">
      <w:numFmt w:val="bullet"/>
      <w:lvlText w:val=""/>
      <w:lvlJc w:val="left"/>
      <w:pPr>
        <w:ind w:left="930" w:hanging="360"/>
      </w:pPr>
      <w:rPr>
        <w:rFonts w:ascii="Symbol" w:eastAsia="Symbol" w:hAnsi="Symbol" w:cs="Symbol" w:hint="default"/>
        <w:w w:val="99"/>
        <w:sz w:val="20"/>
        <w:szCs w:val="20"/>
        <w:lang w:val="en-GB" w:eastAsia="en-GB" w:bidi="en-GB"/>
      </w:rPr>
    </w:lvl>
    <w:lvl w:ilvl="1" w:tplc="58483870">
      <w:numFmt w:val="bullet"/>
      <w:lvlText w:val="•"/>
      <w:lvlJc w:val="left"/>
      <w:pPr>
        <w:ind w:left="1810" w:hanging="360"/>
      </w:pPr>
      <w:rPr>
        <w:rFonts w:hint="default"/>
        <w:lang w:val="en-GB" w:eastAsia="en-GB" w:bidi="en-GB"/>
      </w:rPr>
    </w:lvl>
    <w:lvl w:ilvl="2" w:tplc="84366B1A">
      <w:numFmt w:val="bullet"/>
      <w:lvlText w:val="•"/>
      <w:lvlJc w:val="left"/>
      <w:pPr>
        <w:ind w:left="2681" w:hanging="360"/>
      </w:pPr>
      <w:rPr>
        <w:rFonts w:hint="default"/>
        <w:lang w:val="en-GB" w:eastAsia="en-GB" w:bidi="en-GB"/>
      </w:rPr>
    </w:lvl>
    <w:lvl w:ilvl="3" w:tplc="63A878E8">
      <w:numFmt w:val="bullet"/>
      <w:lvlText w:val="•"/>
      <w:lvlJc w:val="left"/>
      <w:pPr>
        <w:ind w:left="3551" w:hanging="360"/>
      </w:pPr>
      <w:rPr>
        <w:rFonts w:hint="default"/>
        <w:lang w:val="en-GB" w:eastAsia="en-GB" w:bidi="en-GB"/>
      </w:rPr>
    </w:lvl>
    <w:lvl w:ilvl="4" w:tplc="CC44D85A">
      <w:numFmt w:val="bullet"/>
      <w:lvlText w:val="•"/>
      <w:lvlJc w:val="left"/>
      <w:pPr>
        <w:ind w:left="4422" w:hanging="360"/>
      </w:pPr>
      <w:rPr>
        <w:rFonts w:hint="default"/>
        <w:lang w:val="en-GB" w:eastAsia="en-GB" w:bidi="en-GB"/>
      </w:rPr>
    </w:lvl>
    <w:lvl w:ilvl="5" w:tplc="70EC74AC">
      <w:numFmt w:val="bullet"/>
      <w:lvlText w:val="•"/>
      <w:lvlJc w:val="left"/>
      <w:pPr>
        <w:ind w:left="5293" w:hanging="360"/>
      </w:pPr>
      <w:rPr>
        <w:rFonts w:hint="default"/>
        <w:lang w:val="en-GB" w:eastAsia="en-GB" w:bidi="en-GB"/>
      </w:rPr>
    </w:lvl>
    <w:lvl w:ilvl="6" w:tplc="62329664">
      <w:numFmt w:val="bullet"/>
      <w:lvlText w:val="•"/>
      <w:lvlJc w:val="left"/>
      <w:pPr>
        <w:ind w:left="6163" w:hanging="360"/>
      </w:pPr>
      <w:rPr>
        <w:rFonts w:hint="default"/>
        <w:lang w:val="en-GB" w:eastAsia="en-GB" w:bidi="en-GB"/>
      </w:rPr>
    </w:lvl>
    <w:lvl w:ilvl="7" w:tplc="E6A29190">
      <w:numFmt w:val="bullet"/>
      <w:lvlText w:val="•"/>
      <w:lvlJc w:val="left"/>
      <w:pPr>
        <w:ind w:left="7034" w:hanging="360"/>
      </w:pPr>
      <w:rPr>
        <w:rFonts w:hint="default"/>
        <w:lang w:val="en-GB" w:eastAsia="en-GB" w:bidi="en-GB"/>
      </w:rPr>
    </w:lvl>
    <w:lvl w:ilvl="8" w:tplc="C472F11E">
      <w:numFmt w:val="bullet"/>
      <w:lvlText w:val="•"/>
      <w:lvlJc w:val="left"/>
      <w:pPr>
        <w:ind w:left="7905" w:hanging="360"/>
      </w:pPr>
      <w:rPr>
        <w:rFonts w:hint="default"/>
        <w:lang w:val="en-GB" w:eastAsia="en-GB" w:bidi="en-GB"/>
      </w:rPr>
    </w:lvl>
  </w:abstractNum>
  <w:abstractNum w:abstractNumId="4" w15:restartNumberingAfterBreak="0">
    <w:nsid w:val="182C1344"/>
    <w:multiLevelType w:val="hybridMultilevel"/>
    <w:tmpl w:val="9A2285BE"/>
    <w:lvl w:ilvl="0" w:tplc="08090017">
      <w:start w:val="1"/>
      <w:numFmt w:val="lowerLetter"/>
      <w:lvlText w:val="%1)"/>
      <w:lvlJc w:val="left"/>
      <w:pPr>
        <w:ind w:left="880" w:hanging="360"/>
      </w:pPr>
      <w:rPr>
        <w:rFonts w:hint="default"/>
        <w:w w:val="99"/>
        <w:sz w:val="20"/>
        <w:szCs w:val="20"/>
        <w:lang w:val="en-GB" w:eastAsia="en-GB" w:bidi="en-GB"/>
      </w:rPr>
    </w:lvl>
    <w:lvl w:ilvl="1" w:tplc="DE9C9880">
      <w:numFmt w:val="bullet"/>
      <w:lvlText w:val="•"/>
      <w:lvlJc w:val="left"/>
      <w:pPr>
        <w:ind w:left="1756" w:hanging="360"/>
      </w:pPr>
      <w:rPr>
        <w:rFonts w:hint="default"/>
        <w:lang w:val="en-GB" w:eastAsia="en-GB" w:bidi="en-GB"/>
      </w:rPr>
    </w:lvl>
    <w:lvl w:ilvl="2" w:tplc="E33293E8">
      <w:numFmt w:val="bullet"/>
      <w:lvlText w:val="•"/>
      <w:lvlJc w:val="left"/>
      <w:pPr>
        <w:ind w:left="2633" w:hanging="360"/>
      </w:pPr>
      <w:rPr>
        <w:rFonts w:hint="default"/>
        <w:lang w:val="en-GB" w:eastAsia="en-GB" w:bidi="en-GB"/>
      </w:rPr>
    </w:lvl>
    <w:lvl w:ilvl="3" w:tplc="A796C916">
      <w:numFmt w:val="bullet"/>
      <w:lvlText w:val="•"/>
      <w:lvlJc w:val="left"/>
      <w:pPr>
        <w:ind w:left="3509" w:hanging="360"/>
      </w:pPr>
      <w:rPr>
        <w:rFonts w:hint="default"/>
        <w:lang w:val="en-GB" w:eastAsia="en-GB" w:bidi="en-GB"/>
      </w:rPr>
    </w:lvl>
    <w:lvl w:ilvl="4" w:tplc="C8BEC556">
      <w:numFmt w:val="bullet"/>
      <w:lvlText w:val="•"/>
      <w:lvlJc w:val="left"/>
      <w:pPr>
        <w:ind w:left="4386" w:hanging="360"/>
      </w:pPr>
      <w:rPr>
        <w:rFonts w:hint="default"/>
        <w:lang w:val="en-GB" w:eastAsia="en-GB" w:bidi="en-GB"/>
      </w:rPr>
    </w:lvl>
    <w:lvl w:ilvl="5" w:tplc="EB28001A">
      <w:numFmt w:val="bullet"/>
      <w:lvlText w:val="•"/>
      <w:lvlJc w:val="left"/>
      <w:pPr>
        <w:ind w:left="5263" w:hanging="360"/>
      </w:pPr>
      <w:rPr>
        <w:rFonts w:hint="default"/>
        <w:lang w:val="en-GB" w:eastAsia="en-GB" w:bidi="en-GB"/>
      </w:rPr>
    </w:lvl>
    <w:lvl w:ilvl="6" w:tplc="33C21A5C">
      <w:numFmt w:val="bullet"/>
      <w:lvlText w:val="•"/>
      <w:lvlJc w:val="left"/>
      <w:pPr>
        <w:ind w:left="6139" w:hanging="360"/>
      </w:pPr>
      <w:rPr>
        <w:rFonts w:hint="default"/>
        <w:lang w:val="en-GB" w:eastAsia="en-GB" w:bidi="en-GB"/>
      </w:rPr>
    </w:lvl>
    <w:lvl w:ilvl="7" w:tplc="9D544EB8">
      <w:numFmt w:val="bullet"/>
      <w:lvlText w:val="•"/>
      <w:lvlJc w:val="left"/>
      <w:pPr>
        <w:ind w:left="7016" w:hanging="360"/>
      </w:pPr>
      <w:rPr>
        <w:rFonts w:hint="default"/>
        <w:lang w:val="en-GB" w:eastAsia="en-GB" w:bidi="en-GB"/>
      </w:rPr>
    </w:lvl>
    <w:lvl w:ilvl="8" w:tplc="4196A5B8">
      <w:numFmt w:val="bullet"/>
      <w:lvlText w:val="•"/>
      <w:lvlJc w:val="left"/>
      <w:pPr>
        <w:ind w:left="7893" w:hanging="360"/>
      </w:pPr>
      <w:rPr>
        <w:rFonts w:hint="default"/>
        <w:lang w:val="en-GB" w:eastAsia="en-GB" w:bidi="en-GB"/>
      </w:rPr>
    </w:lvl>
  </w:abstractNum>
  <w:abstractNum w:abstractNumId="5" w15:restartNumberingAfterBreak="0">
    <w:nsid w:val="25CE7947"/>
    <w:multiLevelType w:val="hybridMultilevel"/>
    <w:tmpl w:val="E1DE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87D45"/>
    <w:multiLevelType w:val="hybridMultilevel"/>
    <w:tmpl w:val="F74A855C"/>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7" w15:restartNumberingAfterBreak="0">
    <w:nsid w:val="291306FB"/>
    <w:multiLevelType w:val="hybridMultilevel"/>
    <w:tmpl w:val="FF40DF04"/>
    <w:lvl w:ilvl="0" w:tplc="516C2B64">
      <w:start w:val="1"/>
      <w:numFmt w:val="lowerLetter"/>
      <w:lvlText w:val="(%1)"/>
      <w:lvlJc w:val="left"/>
      <w:pPr>
        <w:ind w:left="880" w:hanging="360"/>
      </w:pPr>
      <w:rPr>
        <w:rFonts w:ascii="Arial" w:eastAsia="Arial" w:hAnsi="Arial" w:cs="Arial" w:hint="default"/>
        <w:w w:val="99"/>
        <w:sz w:val="20"/>
        <w:szCs w:val="20"/>
        <w:lang w:val="en-GB" w:eastAsia="en-GB" w:bidi="en-GB"/>
      </w:rPr>
    </w:lvl>
    <w:lvl w:ilvl="1" w:tplc="DE9C9880">
      <w:numFmt w:val="bullet"/>
      <w:lvlText w:val="•"/>
      <w:lvlJc w:val="left"/>
      <w:pPr>
        <w:ind w:left="1756" w:hanging="360"/>
      </w:pPr>
      <w:rPr>
        <w:rFonts w:hint="default"/>
        <w:lang w:val="en-GB" w:eastAsia="en-GB" w:bidi="en-GB"/>
      </w:rPr>
    </w:lvl>
    <w:lvl w:ilvl="2" w:tplc="E33293E8">
      <w:numFmt w:val="bullet"/>
      <w:lvlText w:val="•"/>
      <w:lvlJc w:val="left"/>
      <w:pPr>
        <w:ind w:left="2633" w:hanging="360"/>
      </w:pPr>
      <w:rPr>
        <w:rFonts w:hint="default"/>
        <w:lang w:val="en-GB" w:eastAsia="en-GB" w:bidi="en-GB"/>
      </w:rPr>
    </w:lvl>
    <w:lvl w:ilvl="3" w:tplc="A796C916">
      <w:numFmt w:val="bullet"/>
      <w:lvlText w:val="•"/>
      <w:lvlJc w:val="left"/>
      <w:pPr>
        <w:ind w:left="3509" w:hanging="360"/>
      </w:pPr>
      <w:rPr>
        <w:rFonts w:hint="default"/>
        <w:lang w:val="en-GB" w:eastAsia="en-GB" w:bidi="en-GB"/>
      </w:rPr>
    </w:lvl>
    <w:lvl w:ilvl="4" w:tplc="C8BEC556">
      <w:numFmt w:val="bullet"/>
      <w:lvlText w:val="•"/>
      <w:lvlJc w:val="left"/>
      <w:pPr>
        <w:ind w:left="4386" w:hanging="360"/>
      </w:pPr>
      <w:rPr>
        <w:rFonts w:hint="default"/>
        <w:lang w:val="en-GB" w:eastAsia="en-GB" w:bidi="en-GB"/>
      </w:rPr>
    </w:lvl>
    <w:lvl w:ilvl="5" w:tplc="EB28001A">
      <w:numFmt w:val="bullet"/>
      <w:lvlText w:val="•"/>
      <w:lvlJc w:val="left"/>
      <w:pPr>
        <w:ind w:left="5263" w:hanging="360"/>
      </w:pPr>
      <w:rPr>
        <w:rFonts w:hint="default"/>
        <w:lang w:val="en-GB" w:eastAsia="en-GB" w:bidi="en-GB"/>
      </w:rPr>
    </w:lvl>
    <w:lvl w:ilvl="6" w:tplc="33C21A5C">
      <w:numFmt w:val="bullet"/>
      <w:lvlText w:val="•"/>
      <w:lvlJc w:val="left"/>
      <w:pPr>
        <w:ind w:left="6139" w:hanging="360"/>
      </w:pPr>
      <w:rPr>
        <w:rFonts w:hint="default"/>
        <w:lang w:val="en-GB" w:eastAsia="en-GB" w:bidi="en-GB"/>
      </w:rPr>
    </w:lvl>
    <w:lvl w:ilvl="7" w:tplc="9D544EB8">
      <w:numFmt w:val="bullet"/>
      <w:lvlText w:val="•"/>
      <w:lvlJc w:val="left"/>
      <w:pPr>
        <w:ind w:left="7016" w:hanging="360"/>
      </w:pPr>
      <w:rPr>
        <w:rFonts w:hint="default"/>
        <w:lang w:val="en-GB" w:eastAsia="en-GB" w:bidi="en-GB"/>
      </w:rPr>
    </w:lvl>
    <w:lvl w:ilvl="8" w:tplc="4196A5B8">
      <w:numFmt w:val="bullet"/>
      <w:lvlText w:val="•"/>
      <w:lvlJc w:val="left"/>
      <w:pPr>
        <w:ind w:left="7893" w:hanging="360"/>
      </w:pPr>
      <w:rPr>
        <w:rFonts w:hint="default"/>
        <w:lang w:val="en-GB" w:eastAsia="en-GB" w:bidi="en-GB"/>
      </w:rPr>
    </w:lvl>
  </w:abstractNum>
  <w:abstractNum w:abstractNumId="8" w15:restartNumberingAfterBreak="0">
    <w:nsid w:val="295A09FB"/>
    <w:multiLevelType w:val="hybridMultilevel"/>
    <w:tmpl w:val="ED5C96E2"/>
    <w:lvl w:ilvl="0" w:tplc="363E6A56">
      <w:start w:val="1"/>
      <w:numFmt w:val="decimal"/>
      <w:lvlText w:val="%1."/>
      <w:lvlJc w:val="left"/>
      <w:pPr>
        <w:ind w:left="520" w:hanging="360"/>
      </w:pPr>
      <w:rPr>
        <w:rFonts w:hint="default"/>
        <w:color w:val="4F81BD" w:themeColor="accent1"/>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9" w15:restartNumberingAfterBreak="0">
    <w:nsid w:val="2A7D2B99"/>
    <w:multiLevelType w:val="hybridMultilevel"/>
    <w:tmpl w:val="9D7C438E"/>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0" w15:restartNumberingAfterBreak="0">
    <w:nsid w:val="2AED0347"/>
    <w:multiLevelType w:val="multilevel"/>
    <w:tmpl w:val="EEA24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D11D4E"/>
    <w:multiLevelType w:val="hybridMultilevel"/>
    <w:tmpl w:val="E786891A"/>
    <w:lvl w:ilvl="0" w:tplc="363E6A56">
      <w:start w:val="1"/>
      <w:numFmt w:val="decimal"/>
      <w:lvlText w:val="%1."/>
      <w:lvlJc w:val="left"/>
      <w:pPr>
        <w:ind w:left="5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A500F"/>
    <w:multiLevelType w:val="hybridMultilevel"/>
    <w:tmpl w:val="0880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F37CC"/>
    <w:multiLevelType w:val="hybridMultilevel"/>
    <w:tmpl w:val="BC3CE8F8"/>
    <w:lvl w:ilvl="0" w:tplc="F1247990">
      <w:start w:val="1"/>
      <w:numFmt w:val="decimal"/>
      <w:lvlText w:val="%1"/>
      <w:lvlJc w:val="left"/>
      <w:pPr>
        <w:ind w:left="103" w:hanging="167"/>
      </w:pPr>
      <w:rPr>
        <w:rFonts w:ascii="Arial" w:eastAsia="Arial" w:hAnsi="Arial" w:cs="Arial" w:hint="default"/>
        <w:w w:val="99"/>
        <w:sz w:val="20"/>
        <w:szCs w:val="20"/>
        <w:lang w:val="en-GB" w:eastAsia="en-GB" w:bidi="en-GB"/>
      </w:rPr>
    </w:lvl>
    <w:lvl w:ilvl="1" w:tplc="FBF8E054">
      <w:start w:val="1"/>
      <w:numFmt w:val="lowerLetter"/>
      <w:lvlText w:val="%2)"/>
      <w:lvlJc w:val="left"/>
      <w:pPr>
        <w:ind w:left="823" w:hanging="360"/>
      </w:pPr>
      <w:rPr>
        <w:rFonts w:ascii="Arial" w:eastAsia="Arial" w:hAnsi="Arial" w:cs="Arial" w:hint="default"/>
        <w:spacing w:val="-1"/>
        <w:w w:val="99"/>
        <w:sz w:val="20"/>
        <w:szCs w:val="20"/>
        <w:lang w:val="en-GB" w:eastAsia="en-GB" w:bidi="en-GB"/>
      </w:rPr>
    </w:lvl>
    <w:lvl w:ilvl="2" w:tplc="A734FA30">
      <w:numFmt w:val="bullet"/>
      <w:lvlText w:val="•"/>
      <w:lvlJc w:val="left"/>
      <w:pPr>
        <w:ind w:left="1771" w:hanging="360"/>
      </w:pPr>
      <w:rPr>
        <w:rFonts w:hint="default"/>
        <w:lang w:val="en-GB" w:eastAsia="en-GB" w:bidi="en-GB"/>
      </w:rPr>
    </w:lvl>
    <w:lvl w:ilvl="3" w:tplc="C0AC0FE2">
      <w:numFmt w:val="bullet"/>
      <w:lvlText w:val="•"/>
      <w:lvlJc w:val="left"/>
      <w:pPr>
        <w:ind w:left="2722" w:hanging="360"/>
      </w:pPr>
      <w:rPr>
        <w:rFonts w:hint="default"/>
        <w:lang w:val="en-GB" w:eastAsia="en-GB" w:bidi="en-GB"/>
      </w:rPr>
    </w:lvl>
    <w:lvl w:ilvl="4" w:tplc="C6622A5A">
      <w:numFmt w:val="bullet"/>
      <w:lvlText w:val="•"/>
      <w:lvlJc w:val="left"/>
      <w:pPr>
        <w:ind w:left="3674" w:hanging="360"/>
      </w:pPr>
      <w:rPr>
        <w:rFonts w:hint="default"/>
        <w:lang w:val="en-GB" w:eastAsia="en-GB" w:bidi="en-GB"/>
      </w:rPr>
    </w:lvl>
    <w:lvl w:ilvl="5" w:tplc="27C642E2">
      <w:numFmt w:val="bullet"/>
      <w:lvlText w:val="•"/>
      <w:lvlJc w:val="left"/>
      <w:pPr>
        <w:ind w:left="4625" w:hanging="360"/>
      </w:pPr>
      <w:rPr>
        <w:rFonts w:hint="default"/>
        <w:lang w:val="en-GB" w:eastAsia="en-GB" w:bidi="en-GB"/>
      </w:rPr>
    </w:lvl>
    <w:lvl w:ilvl="6" w:tplc="66F43AD2">
      <w:numFmt w:val="bullet"/>
      <w:lvlText w:val="•"/>
      <w:lvlJc w:val="left"/>
      <w:pPr>
        <w:ind w:left="5577" w:hanging="360"/>
      </w:pPr>
      <w:rPr>
        <w:rFonts w:hint="default"/>
        <w:lang w:val="en-GB" w:eastAsia="en-GB" w:bidi="en-GB"/>
      </w:rPr>
    </w:lvl>
    <w:lvl w:ilvl="7" w:tplc="F1142EBE">
      <w:numFmt w:val="bullet"/>
      <w:lvlText w:val="•"/>
      <w:lvlJc w:val="left"/>
      <w:pPr>
        <w:ind w:left="6528" w:hanging="360"/>
      </w:pPr>
      <w:rPr>
        <w:rFonts w:hint="default"/>
        <w:lang w:val="en-GB" w:eastAsia="en-GB" w:bidi="en-GB"/>
      </w:rPr>
    </w:lvl>
    <w:lvl w:ilvl="8" w:tplc="BD1EB46E">
      <w:numFmt w:val="bullet"/>
      <w:lvlText w:val="•"/>
      <w:lvlJc w:val="left"/>
      <w:pPr>
        <w:ind w:left="7480" w:hanging="360"/>
      </w:pPr>
      <w:rPr>
        <w:rFonts w:hint="default"/>
        <w:lang w:val="en-GB" w:eastAsia="en-GB" w:bidi="en-GB"/>
      </w:rPr>
    </w:lvl>
  </w:abstractNum>
  <w:abstractNum w:abstractNumId="14" w15:restartNumberingAfterBreak="0">
    <w:nsid w:val="6D617C73"/>
    <w:multiLevelType w:val="hybridMultilevel"/>
    <w:tmpl w:val="49409356"/>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5" w15:restartNumberingAfterBreak="0">
    <w:nsid w:val="79BD0F43"/>
    <w:multiLevelType w:val="hybridMultilevel"/>
    <w:tmpl w:val="5942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E2A79"/>
    <w:multiLevelType w:val="hybridMultilevel"/>
    <w:tmpl w:val="EA96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7"/>
  </w:num>
  <w:num w:numId="5">
    <w:abstractNumId w:val="4"/>
  </w:num>
  <w:num w:numId="6">
    <w:abstractNumId w:val="2"/>
  </w:num>
  <w:num w:numId="7">
    <w:abstractNumId w:val="8"/>
  </w:num>
  <w:num w:numId="8">
    <w:abstractNumId w:val="14"/>
  </w:num>
  <w:num w:numId="9">
    <w:abstractNumId w:val="9"/>
  </w:num>
  <w:num w:numId="10">
    <w:abstractNumId w:val="12"/>
  </w:num>
  <w:num w:numId="11">
    <w:abstractNumId w:val="6"/>
  </w:num>
  <w:num w:numId="12">
    <w:abstractNumId w:val="11"/>
  </w:num>
  <w:num w:numId="13">
    <w:abstractNumId w:val="16"/>
  </w:num>
  <w:num w:numId="14">
    <w:abstractNumId w:val="5"/>
  </w:num>
  <w:num w:numId="15">
    <w:abstractNumId w:val="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C9"/>
    <w:rsid w:val="000061F0"/>
    <w:rsid w:val="000133E1"/>
    <w:rsid w:val="00031E5A"/>
    <w:rsid w:val="0003407A"/>
    <w:rsid w:val="000341D6"/>
    <w:rsid w:val="00084577"/>
    <w:rsid w:val="0008619A"/>
    <w:rsid w:val="000B042C"/>
    <w:rsid w:val="000C6E98"/>
    <w:rsid w:val="000E071F"/>
    <w:rsid w:val="000E1405"/>
    <w:rsid w:val="00120BA2"/>
    <w:rsid w:val="00124302"/>
    <w:rsid w:val="00131578"/>
    <w:rsid w:val="00150148"/>
    <w:rsid w:val="001607C9"/>
    <w:rsid w:val="001A104B"/>
    <w:rsid w:val="001D0DB9"/>
    <w:rsid w:val="001D7FC8"/>
    <w:rsid w:val="001E2AE8"/>
    <w:rsid w:val="00255537"/>
    <w:rsid w:val="002800A2"/>
    <w:rsid w:val="00281137"/>
    <w:rsid w:val="00282D86"/>
    <w:rsid w:val="002855E6"/>
    <w:rsid w:val="002A33A5"/>
    <w:rsid w:val="002A56DD"/>
    <w:rsid w:val="002D36FC"/>
    <w:rsid w:val="002E6BCB"/>
    <w:rsid w:val="002F7557"/>
    <w:rsid w:val="00306EDC"/>
    <w:rsid w:val="00331C29"/>
    <w:rsid w:val="00383151"/>
    <w:rsid w:val="003B3C66"/>
    <w:rsid w:val="004035C4"/>
    <w:rsid w:val="00414927"/>
    <w:rsid w:val="004405D7"/>
    <w:rsid w:val="00445094"/>
    <w:rsid w:val="004B198F"/>
    <w:rsid w:val="004F4142"/>
    <w:rsid w:val="00514ED6"/>
    <w:rsid w:val="005222C6"/>
    <w:rsid w:val="00556FB7"/>
    <w:rsid w:val="00576FF3"/>
    <w:rsid w:val="00590569"/>
    <w:rsid w:val="005B336D"/>
    <w:rsid w:val="005C3FE6"/>
    <w:rsid w:val="00601044"/>
    <w:rsid w:val="006247D2"/>
    <w:rsid w:val="00651B69"/>
    <w:rsid w:val="006624B3"/>
    <w:rsid w:val="0067500B"/>
    <w:rsid w:val="0068548C"/>
    <w:rsid w:val="0069017B"/>
    <w:rsid w:val="00691C06"/>
    <w:rsid w:val="006C2394"/>
    <w:rsid w:val="006C71F8"/>
    <w:rsid w:val="007021EF"/>
    <w:rsid w:val="0072517E"/>
    <w:rsid w:val="007531A9"/>
    <w:rsid w:val="007C326C"/>
    <w:rsid w:val="007D065E"/>
    <w:rsid w:val="007D67D5"/>
    <w:rsid w:val="008421A4"/>
    <w:rsid w:val="008C0BE9"/>
    <w:rsid w:val="008C2702"/>
    <w:rsid w:val="008E0583"/>
    <w:rsid w:val="008F5D23"/>
    <w:rsid w:val="00943AF7"/>
    <w:rsid w:val="009552C4"/>
    <w:rsid w:val="00983BB1"/>
    <w:rsid w:val="009A1919"/>
    <w:rsid w:val="009E6134"/>
    <w:rsid w:val="009F4007"/>
    <w:rsid w:val="00A51B3D"/>
    <w:rsid w:val="00A613B0"/>
    <w:rsid w:val="00A97BB5"/>
    <w:rsid w:val="00AC39CE"/>
    <w:rsid w:val="00AE465D"/>
    <w:rsid w:val="00B1340D"/>
    <w:rsid w:val="00B444A6"/>
    <w:rsid w:val="00B5572D"/>
    <w:rsid w:val="00B90EC3"/>
    <w:rsid w:val="00B934FD"/>
    <w:rsid w:val="00BC609C"/>
    <w:rsid w:val="00BE2849"/>
    <w:rsid w:val="00C24D72"/>
    <w:rsid w:val="00C55249"/>
    <w:rsid w:val="00C657F1"/>
    <w:rsid w:val="00C709F5"/>
    <w:rsid w:val="00C73589"/>
    <w:rsid w:val="00C877F9"/>
    <w:rsid w:val="00C959B4"/>
    <w:rsid w:val="00CD1A52"/>
    <w:rsid w:val="00CF2BD0"/>
    <w:rsid w:val="00CF4CD4"/>
    <w:rsid w:val="00D346BA"/>
    <w:rsid w:val="00D3670F"/>
    <w:rsid w:val="00D411DB"/>
    <w:rsid w:val="00DB2497"/>
    <w:rsid w:val="00DB4D2A"/>
    <w:rsid w:val="00E00872"/>
    <w:rsid w:val="00E17C3D"/>
    <w:rsid w:val="00E24BE5"/>
    <w:rsid w:val="00E60F6F"/>
    <w:rsid w:val="00E61C88"/>
    <w:rsid w:val="00E87347"/>
    <w:rsid w:val="00EA0A06"/>
    <w:rsid w:val="00EB497B"/>
    <w:rsid w:val="00EC772D"/>
    <w:rsid w:val="00ED71BF"/>
    <w:rsid w:val="00EE287A"/>
    <w:rsid w:val="00F12CC9"/>
    <w:rsid w:val="00F13BCC"/>
    <w:rsid w:val="00F24CE0"/>
    <w:rsid w:val="00F36979"/>
    <w:rsid w:val="00F379A0"/>
    <w:rsid w:val="00F64780"/>
    <w:rsid w:val="00F80D25"/>
    <w:rsid w:val="00FA1253"/>
    <w:rsid w:val="00FF18E0"/>
    <w:rsid w:val="00FF6CA3"/>
    <w:rsid w:val="218DC876"/>
    <w:rsid w:val="32709476"/>
    <w:rsid w:val="7590F0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5400"/>
  <w15:docId w15:val="{BC724A1A-2460-47FC-B76F-77A79B1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EB497B"/>
    <w:rPr>
      <w:color w:val="0000FF" w:themeColor="hyperlink"/>
      <w:u w:val="single"/>
    </w:rPr>
  </w:style>
  <w:style w:type="character" w:styleId="UnresolvedMention">
    <w:name w:val="Unresolved Mention"/>
    <w:basedOn w:val="DefaultParagraphFont"/>
    <w:uiPriority w:val="99"/>
    <w:semiHidden/>
    <w:unhideWhenUsed/>
    <w:rsid w:val="00EB497B"/>
    <w:rPr>
      <w:color w:val="605E5C"/>
      <w:shd w:val="clear" w:color="auto" w:fill="E1DFDD"/>
    </w:rPr>
  </w:style>
  <w:style w:type="character" w:styleId="CommentReference">
    <w:name w:val="annotation reference"/>
    <w:basedOn w:val="DefaultParagraphFont"/>
    <w:uiPriority w:val="99"/>
    <w:semiHidden/>
    <w:unhideWhenUsed/>
    <w:rsid w:val="00120BA2"/>
    <w:rPr>
      <w:sz w:val="16"/>
      <w:szCs w:val="16"/>
    </w:rPr>
  </w:style>
  <w:style w:type="paragraph" w:styleId="CommentText">
    <w:name w:val="annotation text"/>
    <w:basedOn w:val="Normal"/>
    <w:link w:val="CommentTextChar"/>
    <w:uiPriority w:val="99"/>
    <w:semiHidden/>
    <w:unhideWhenUsed/>
    <w:rsid w:val="00120BA2"/>
    <w:rPr>
      <w:sz w:val="20"/>
      <w:szCs w:val="20"/>
    </w:rPr>
  </w:style>
  <w:style w:type="character" w:customStyle="1" w:styleId="CommentTextChar">
    <w:name w:val="Comment Text Char"/>
    <w:basedOn w:val="DefaultParagraphFont"/>
    <w:link w:val="CommentText"/>
    <w:uiPriority w:val="99"/>
    <w:semiHidden/>
    <w:rsid w:val="00120BA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20BA2"/>
    <w:rPr>
      <w:b/>
      <w:bCs/>
    </w:rPr>
  </w:style>
  <w:style w:type="character" w:customStyle="1" w:styleId="CommentSubjectChar">
    <w:name w:val="Comment Subject Char"/>
    <w:basedOn w:val="CommentTextChar"/>
    <w:link w:val="CommentSubject"/>
    <w:uiPriority w:val="99"/>
    <w:semiHidden/>
    <w:rsid w:val="00120BA2"/>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120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BA2"/>
    <w:rPr>
      <w:rFonts w:ascii="Segoe UI" w:eastAsia="Arial" w:hAnsi="Segoe UI" w:cs="Segoe UI"/>
      <w:sz w:val="18"/>
      <w:szCs w:val="18"/>
      <w:lang w:val="en-GB" w:eastAsia="en-GB" w:bidi="en-GB"/>
    </w:rPr>
  </w:style>
  <w:style w:type="character" w:styleId="FollowedHyperlink">
    <w:name w:val="FollowedHyperlink"/>
    <w:basedOn w:val="DefaultParagraphFont"/>
    <w:uiPriority w:val="99"/>
    <w:semiHidden/>
    <w:unhideWhenUsed/>
    <w:rsid w:val="00B13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673">
      <w:bodyDiv w:val="1"/>
      <w:marLeft w:val="0"/>
      <w:marRight w:val="0"/>
      <w:marTop w:val="0"/>
      <w:marBottom w:val="0"/>
      <w:divBdr>
        <w:top w:val="none" w:sz="0" w:space="0" w:color="auto"/>
        <w:left w:val="none" w:sz="0" w:space="0" w:color="auto"/>
        <w:bottom w:val="none" w:sz="0" w:space="0" w:color="auto"/>
        <w:right w:val="none" w:sz="0" w:space="0" w:color="auto"/>
      </w:divBdr>
    </w:div>
    <w:div w:id="360864563">
      <w:bodyDiv w:val="1"/>
      <w:marLeft w:val="0"/>
      <w:marRight w:val="0"/>
      <w:marTop w:val="0"/>
      <w:marBottom w:val="0"/>
      <w:divBdr>
        <w:top w:val="none" w:sz="0" w:space="0" w:color="auto"/>
        <w:left w:val="none" w:sz="0" w:space="0" w:color="auto"/>
        <w:bottom w:val="none" w:sz="0" w:space="0" w:color="auto"/>
        <w:right w:val="none" w:sz="0" w:space="0" w:color="auto"/>
      </w:divBdr>
      <w:divsChild>
        <w:div w:id="915086989">
          <w:marLeft w:val="0"/>
          <w:marRight w:val="0"/>
          <w:marTop w:val="0"/>
          <w:marBottom w:val="0"/>
          <w:divBdr>
            <w:top w:val="none" w:sz="0" w:space="0" w:color="auto"/>
            <w:left w:val="none" w:sz="0" w:space="0" w:color="auto"/>
            <w:bottom w:val="none" w:sz="0" w:space="0" w:color="auto"/>
            <w:right w:val="none" w:sz="0" w:space="0" w:color="auto"/>
          </w:divBdr>
          <w:divsChild>
            <w:div w:id="1966038144">
              <w:marLeft w:val="0"/>
              <w:marRight w:val="0"/>
              <w:marTop w:val="0"/>
              <w:marBottom w:val="0"/>
              <w:divBdr>
                <w:top w:val="none" w:sz="0" w:space="0" w:color="auto"/>
                <w:left w:val="none" w:sz="0" w:space="0" w:color="auto"/>
                <w:bottom w:val="none" w:sz="0" w:space="0" w:color="auto"/>
                <w:right w:val="none" w:sz="0" w:space="0" w:color="auto"/>
              </w:divBdr>
            </w:div>
          </w:divsChild>
        </w:div>
        <w:div w:id="2014797750">
          <w:marLeft w:val="0"/>
          <w:marRight w:val="0"/>
          <w:marTop w:val="0"/>
          <w:marBottom w:val="0"/>
          <w:divBdr>
            <w:top w:val="none" w:sz="0" w:space="0" w:color="auto"/>
            <w:left w:val="none" w:sz="0" w:space="0" w:color="auto"/>
            <w:bottom w:val="none" w:sz="0" w:space="0" w:color="auto"/>
            <w:right w:val="none" w:sz="0" w:space="0" w:color="auto"/>
          </w:divBdr>
          <w:divsChild>
            <w:div w:id="595290563">
              <w:marLeft w:val="0"/>
              <w:marRight w:val="0"/>
              <w:marTop w:val="0"/>
              <w:marBottom w:val="0"/>
              <w:divBdr>
                <w:top w:val="none" w:sz="0" w:space="0" w:color="auto"/>
                <w:left w:val="none" w:sz="0" w:space="0" w:color="auto"/>
                <w:bottom w:val="none" w:sz="0" w:space="0" w:color="auto"/>
                <w:right w:val="none" w:sz="0" w:space="0" w:color="auto"/>
              </w:divBdr>
            </w:div>
          </w:divsChild>
        </w:div>
        <w:div w:id="2128498885">
          <w:marLeft w:val="0"/>
          <w:marRight w:val="0"/>
          <w:marTop w:val="0"/>
          <w:marBottom w:val="0"/>
          <w:divBdr>
            <w:top w:val="none" w:sz="0" w:space="0" w:color="auto"/>
            <w:left w:val="none" w:sz="0" w:space="0" w:color="auto"/>
            <w:bottom w:val="none" w:sz="0" w:space="0" w:color="auto"/>
            <w:right w:val="none" w:sz="0" w:space="0" w:color="auto"/>
          </w:divBdr>
          <w:divsChild>
            <w:div w:id="2178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5046">
      <w:bodyDiv w:val="1"/>
      <w:marLeft w:val="0"/>
      <w:marRight w:val="0"/>
      <w:marTop w:val="0"/>
      <w:marBottom w:val="0"/>
      <w:divBdr>
        <w:top w:val="none" w:sz="0" w:space="0" w:color="auto"/>
        <w:left w:val="none" w:sz="0" w:space="0" w:color="auto"/>
        <w:bottom w:val="none" w:sz="0" w:space="0" w:color="auto"/>
        <w:right w:val="none" w:sz="0" w:space="0" w:color="auto"/>
      </w:divBdr>
    </w:div>
    <w:div w:id="1824003277">
      <w:bodyDiv w:val="1"/>
      <w:marLeft w:val="0"/>
      <w:marRight w:val="0"/>
      <w:marTop w:val="0"/>
      <w:marBottom w:val="0"/>
      <w:divBdr>
        <w:top w:val="none" w:sz="0" w:space="0" w:color="auto"/>
        <w:left w:val="none" w:sz="0" w:space="0" w:color="auto"/>
        <w:bottom w:val="none" w:sz="0" w:space="0" w:color="auto"/>
        <w:right w:val="none" w:sz="0" w:space="0" w:color="auto"/>
      </w:divBdr>
      <w:divsChild>
        <w:div w:id="1049960054">
          <w:marLeft w:val="0"/>
          <w:marRight w:val="0"/>
          <w:marTop w:val="0"/>
          <w:marBottom w:val="0"/>
          <w:divBdr>
            <w:top w:val="none" w:sz="0" w:space="0" w:color="auto"/>
            <w:left w:val="none" w:sz="0" w:space="0" w:color="auto"/>
            <w:bottom w:val="none" w:sz="0" w:space="0" w:color="auto"/>
            <w:right w:val="none" w:sz="0" w:space="0" w:color="auto"/>
          </w:divBdr>
          <w:divsChild>
            <w:div w:id="660427203">
              <w:marLeft w:val="0"/>
              <w:marRight w:val="0"/>
              <w:marTop w:val="0"/>
              <w:marBottom w:val="0"/>
              <w:divBdr>
                <w:top w:val="none" w:sz="0" w:space="0" w:color="auto"/>
                <w:left w:val="none" w:sz="0" w:space="0" w:color="auto"/>
                <w:bottom w:val="none" w:sz="0" w:space="0" w:color="auto"/>
                <w:right w:val="none" w:sz="0" w:space="0" w:color="auto"/>
              </w:divBdr>
            </w:div>
          </w:divsChild>
        </w:div>
        <w:div w:id="1369796500">
          <w:marLeft w:val="0"/>
          <w:marRight w:val="0"/>
          <w:marTop w:val="0"/>
          <w:marBottom w:val="0"/>
          <w:divBdr>
            <w:top w:val="none" w:sz="0" w:space="0" w:color="auto"/>
            <w:left w:val="none" w:sz="0" w:space="0" w:color="auto"/>
            <w:bottom w:val="none" w:sz="0" w:space="0" w:color="auto"/>
            <w:right w:val="none" w:sz="0" w:space="0" w:color="auto"/>
          </w:divBdr>
          <w:divsChild>
            <w:div w:id="3338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cabdn.maps.arcgis.com/apps/webappviewer/index.html?id=397aaf4ccf094e0fb0be9ff32fc3930f" TargetMode="External"/><Relationship Id="rId13" Type="http://schemas.openxmlformats.org/officeDocument/2006/relationships/hyperlink" Target="https://www.aberdeencity.gov.uk/services/strategy-performance-and-statistics/statistics-and-information/pla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ccabdn.maps.arcgis.com/apps/webappviewer/index.html?id=397aaf4ccf094e0fb0be9ff32fc3930f" TargetMode="External"/><Relationship Id="rId12" Type="http://schemas.openxmlformats.org/officeDocument/2006/relationships/hyperlink" Target="https://www.aberdeencity.gov.uk/services/strategy-performance-and-statistics/statistics-and-information/depriv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berdeencity.gov.uk/services/strategy-performance-and-statistics/aberdeen-city-area-profile" TargetMode="External"/><Relationship Id="rId1" Type="http://schemas.openxmlformats.org/officeDocument/2006/relationships/customXml" Target="../customXml/item1.xml"/><Relationship Id="rId6" Type="http://schemas.openxmlformats.org/officeDocument/2006/relationships/hyperlink" Target="https://www.aberdeencity.gov.uk/services/business-and-licensing/licences-and-permits/gambling-act-2005" TargetMode="External"/><Relationship Id="rId11" Type="http://schemas.openxmlformats.org/officeDocument/2006/relationships/hyperlink" Target="https://www.aberdeencity.gov.uk/services/strategy-performance-and-statistics/statistics-and-information/census-2011" TargetMode="External"/><Relationship Id="rId5" Type="http://schemas.openxmlformats.org/officeDocument/2006/relationships/webSettings" Target="webSettings.xml"/><Relationship Id="rId15" Type="http://schemas.openxmlformats.org/officeDocument/2006/relationships/hyperlink" Target="https://www.aberdeencity.gov.uk/services/strategy-performance-and-statistics/statistics-and-information/aberdeen-key-factsbehind-granite" TargetMode="External"/><Relationship Id="rId10" Type="http://schemas.openxmlformats.org/officeDocument/2006/relationships/hyperlink" Target="https://www.aberdeencity.gov.uk/services/strategy-performance-and-statistics/statistics-and-information/people" TargetMode="External"/><Relationship Id="rId4" Type="http://schemas.openxmlformats.org/officeDocument/2006/relationships/settings" Target="settings.xml"/><Relationship Id="rId9" Type="http://schemas.openxmlformats.org/officeDocument/2006/relationships/hyperlink" Target="https://www.aberdeencity.gov.uk/services/strategy-performance-and-statistics/statistics-and-information/population" TargetMode="External"/><Relationship Id="rId14" Type="http://schemas.openxmlformats.org/officeDocument/2006/relationships/hyperlink" Target="https://www.aberdeencity.gov.uk/services/strategy-performance-and-statistics/statistics-and-information/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B860-BBD3-4189-A6D1-B1C15AB1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2804</Words>
  <Characters>15984</Characters>
  <Application>Microsoft Office Word</Application>
  <DocSecurity>0</DocSecurity>
  <Lines>133</Lines>
  <Paragraphs>37</Paragraphs>
  <ScaleCrop>false</ScaleCrop>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City Council</dc:creator>
  <cp:keywords/>
  <cp:lastModifiedBy>Arlene Dunbar</cp:lastModifiedBy>
  <cp:revision>119</cp:revision>
  <dcterms:created xsi:type="dcterms:W3CDTF">2018-11-15T12:58:00Z</dcterms:created>
  <dcterms:modified xsi:type="dcterms:W3CDTF">2018-12-07T14:24:00Z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2010</vt:lpwstr>
  </property>
  <property fmtid="{D5CDD505-2E9C-101B-9397-08002B2CF9AE}" pid="4" name="LastSaved">
    <vt:filetime>2018-11-09T00:00:00Z</vt:filetime>
  </property>
</Properties>
</file>